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DF3" w:rsidP="00B83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TLIC2012 Ride courier/delivery motorcycle</w:t>
      </w:r>
      <w:r>
        <w:fldChar w:fldCharType="end"/>
      </w:r>
    </w:p>
    <w:p w:rsidR="00B83DF3" w:rsidP="00B83DF3">
      <w:pPr>
        <w:pStyle w:val="Version"/>
        <w:sectPr w:rsidSect="00E64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1AE" w:rsidP="00E641AE">
      <w:pPr>
        <w:pStyle w:val="SuperHeading"/>
      </w:pPr>
      <w:r w:rsidRPr="00E641AE">
        <w:t>TLIC2012 Ride courier/delivery motorcycle</w:t>
      </w:r>
    </w:p>
    <w:p w:rsidR="00000000" w:rsidRPr="00E641AE" w:rsidP="00E641AE">
      <w:pPr>
        <w:pStyle w:val="Heading1"/>
      </w:pPr>
      <w:bookmarkStart w:id="1" w:name="O_841971"/>
      <w:bookmarkEnd w:id="1"/>
      <w:r w:rsidRPr="00E641AE">
        <w:t>Modification History</w:t>
      </w:r>
    </w:p>
    <w:p w:rsidR="00B83DF3" w:rsidP="00B83DF3">
      <w:pPr>
        <w:pStyle w:val="BodyText"/>
      </w:pPr>
      <w:r w:rsidRPr="00E641AE">
        <w:t>Release 1. This is the first release of this unit of competency in the TLI Transport and Logistics Training Package.</w:t>
      </w:r>
    </w:p>
    <w:p w:rsidR="00000000" w:rsidRPr="00E641AE" w:rsidP="00E641AE">
      <w:pPr>
        <w:pStyle w:val="Heading1"/>
      </w:pPr>
      <w:bookmarkStart w:id="2" w:name="O_841972"/>
      <w:bookmarkEnd w:id="2"/>
      <w:r w:rsidRPr="00E641A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41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t>This unit involves the skills and knowledge required to ride a courier/delivery motorcyc</w:t>
            </w:r>
            <w:r w:rsidRPr="00E641AE">
              <w:t xml:space="preserve">le while safely carrying loads, in accordance with relevant state/territory roads and traffic authority regulations/permit requirements for riding a motorcycle on public roads. </w:t>
            </w:r>
          </w:p>
          <w:p w:rsidR="00000000" w:rsidRPr="00E641AE" w:rsidP="00E641AE">
            <w:pPr>
              <w:pStyle w:val="BodyText"/>
            </w:pPr>
            <w:r w:rsidRPr="00E641AE">
              <w:t>It includes making motorcycle pre-operational checks; systematically, safely a</w:t>
            </w:r>
            <w:r w:rsidRPr="00E641AE">
              <w:t xml:space="preserve">nd efficiently controlling all functions; and effectively managing hazardous situations. </w:t>
            </w:r>
          </w:p>
          <w:p w:rsidR="00000000" w:rsidRPr="00E641AE" w:rsidP="00E641AE">
            <w:pPr>
              <w:pStyle w:val="BodyText"/>
            </w:pPr>
            <w:r w:rsidRPr="00E641AE">
              <w:t xml:space="preserve">Driving involves the application of routine procedures to pick up and deliver products, documents and materials from and to customers across a variety of operational </w:t>
            </w:r>
            <w:r w:rsidRPr="00E641AE">
              <w:t>contexts.</w:t>
            </w:r>
          </w:p>
          <w:p w:rsidR="00000000" w:rsidRPr="00E641AE" w:rsidP="00E641AE">
            <w:pPr>
              <w:pStyle w:val="BodyText"/>
            </w:pPr>
            <w:r w:rsidRPr="00E641AE">
              <w:t>Work is generally performed with limited supervision, and with duty of care responsibility for self in achieving the prescribed outcomes.</w:t>
            </w:r>
          </w:p>
          <w:p w:rsidR="00000000" w:rsidRPr="00E641AE" w:rsidP="00E641AE">
            <w:pPr>
              <w:pStyle w:val="BodyText"/>
            </w:pPr>
            <w:r w:rsidRPr="00E641AE">
              <w:t>No licensing, legislative or certification requirements apply to this unit at the time of publication.</w:t>
            </w:r>
          </w:p>
        </w:tc>
      </w:tr>
    </w:tbl>
    <w:p w:rsidR="00B83DF3" w:rsidP="00E641AE">
      <w:pPr>
        <w:pStyle w:val="BodyText"/>
      </w:pPr>
    </w:p>
    <w:p w:rsidR="00B83DF3" w:rsidP="00E641AE">
      <w:pPr>
        <w:pStyle w:val="BodyText"/>
      </w:pPr>
    </w:p>
    <w:p w:rsidR="00000000" w:rsidRPr="00E641AE" w:rsidP="00E641AE">
      <w:pPr>
        <w:pStyle w:val="Heading1"/>
      </w:pPr>
      <w:bookmarkStart w:id="3" w:name="O_841973"/>
      <w:bookmarkEnd w:id="3"/>
      <w:r w:rsidRPr="00E641AE">
        <w:t>Pre-requisite Unit</w:t>
      </w:r>
    </w:p>
    <w:p w:rsidR="00B83DF3" w:rsidP="00B83DF3">
      <w:pPr>
        <w:pStyle w:val="BodyText"/>
      </w:pPr>
      <w:r w:rsidRPr="00E641AE">
        <w:t>Not applicable.</w:t>
      </w:r>
    </w:p>
    <w:p w:rsidR="00000000" w:rsidRPr="00E641AE" w:rsidP="00E641AE">
      <w:pPr>
        <w:pStyle w:val="Heading1"/>
      </w:pPr>
      <w:bookmarkStart w:id="4" w:name="O_841974"/>
      <w:bookmarkEnd w:id="4"/>
      <w:r w:rsidRPr="00E641AE">
        <w:t>Competency Field</w:t>
      </w:r>
    </w:p>
    <w:p w:rsidR="00B83DF3" w:rsidP="00B83DF3">
      <w:pPr>
        <w:pStyle w:val="BodyText"/>
      </w:pPr>
      <w:r w:rsidRPr="00E641AE">
        <w:t>C – Vehicle Operation</w:t>
      </w:r>
    </w:p>
    <w:p w:rsidR="00000000" w:rsidRPr="00E641AE" w:rsidP="00E641AE">
      <w:pPr>
        <w:pStyle w:val="Heading1"/>
      </w:pPr>
      <w:bookmarkStart w:id="5" w:name="O_841975"/>
      <w:bookmarkEnd w:id="5"/>
      <w:r w:rsidRPr="00E641AE">
        <w:t>Unit Sector</w:t>
      </w:r>
    </w:p>
    <w:p w:rsidR="00B83DF3" w:rsidP="00B83DF3">
      <w:pPr>
        <w:pStyle w:val="BodyText"/>
      </w:pPr>
      <w:r w:rsidRPr="00E641AE">
        <w:t>Not applicable.</w:t>
      </w:r>
    </w:p>
    <w:p w:rsidR="00000000" w:rsidRPr="00E641AE" w:rsidP="00E641AE">
      <w:pPr>
        <w:pStyle w:val="Heading1"/>
      </w:pPr>
      <w:bookmarkStart w:id="6" w:name="O_841976"/>
      <w:bookmarkEnd w:id="6"/>
      <w:r w:rsidRPr="00E641A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rPr>
                <w:rStyle w:val="SpecialBold"/>
              </w:rPr>
              <w:t>PERFORMANCE CRITERIA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Performance criteria describe the performance needed to demonstrate achievement of the element.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rPr>
                <w:rStyle w:val="SpecialBold"/>
              </w:rPr>
              <w:t>Ride courier motorcycle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Motorcycle is started, steered, manoeuvred, positioned and stopped in accordance with</w:t>
            </w:r>
            <w:r w:rsidRPr="00E641AE">
              <w:t xml:space="preserve"> traffic regulations, manufacturer instructions and workplace procedures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Engine power is managed to ensure efficiency and performance and to minimise engine and gear damage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Driving hazards are identified and/or anticipated, and avoided or controlled through defensive driving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Motorcycle is parked, shut down and secured in accordance with manufacturer specifications, traffic regulations and workplace procedures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Motorcycles carrying dangerous goods are driven along designated routes in accordance with current Australian Dangerous Goods (ADG) Code, relevant government regulations and workplace policies and procedures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Load is checked to confirm accordance wit</w:t>
            </w:r>
            <w:r w:rsidRPr="00E641AE">
              <w:t xml:space="preserve">h motorcycle load limit 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Load is secured, transported and motorcycle is manoeuvred with due consideration to any required precautions related to load characteristics and/or relevant government regulations for special loads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Required signs or i</w:t>
            </w:r>
            <w:r w:rsidRPr="00E641AE">
              <w:t>ndicators are fixed to motorcycle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Personal protective equipment and clothing is identified, worn and adjusted to meet legislative, regulatory and policy requirements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Most efficient route of travel is taken by monitoring and anticipating traffic flows and conditions, road standards and other factors likely to cause delays or route deviations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Traffic and road conditions are constantly monitored and acted on to ena</w:t>
            </w:r>
            <w:r w:rsidRPr="00E641AE">
              <w:t>ble safe operation and to ensure no injury to people or damage to property, equipment, loads and facilities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rPr>
                <w:rStyle w:val="SpecialBold"/>
              </w:rPr>
              <w:t>Monitor and maintain motorcycle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 xml:space="preserve">Motorcycle performance is maintained through pre-operational inspections and motorcycle checks 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Performance and efficiency of motorcycle operation is monitored during use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Defective or irregular performance or malfunctions are reported to appropriate authority</w:t>
            </w:r>
          </w:p>
        </w:tc>
      </w:tr>
      <w:tr w:rsidTr="00B83D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1AE">
            <w:pPr>
              <w:pStyle w:val="BodyText"/>
              <w:rPr>
                <w:lang w:val="en-NZ"/>
              </w:rPr>
            </w:pPr>
            <w:r w:rsidRPr="00E641A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1AE" w:rsidP="00E641AE">
            <w:pPr>
              <w:pStyle w:val="BodyText"/>
            </w:pPr>
            <w:r w:rsidRPr="00E641AE">
              <w:t>Motorcycle records are maintained/updated and information is processed in accordance with workplace procedures</w:t>
            </w:r>
          </w:p>
        </w:tc>
      </w:tr>
    </w:tbl>
    <w:p w:rsidR="00B83DF3" w:rsidP="00E641AE">
      <w:pPr>
        <w:pStyle w:val="BodyText"/>
      </w:pPr>
    </w:p>
    <w:p w:rsidR="00B83DF3" w:rsidP="00E641AE">
      <w:pPr>
        <w:pStyle w:val="BodyText"/>
      </w:pPr>
    </w:p>
    <w:p w:rsidR="00000000" w:rsidRPr="00E641AE" w:rsidP="00E641AE">
      <w:pPr>
        <w:pStyle w:val="Heading1"/>
      </w:pPr>
      <w:bookmarkStart w:id="7" w:name="O_841977"/>
      <w:bookmarkEnd w:id="7"/>
      <w:r w:rsidRPr="00E641AE">
        <w:t>Foundation Skills</w:t>
      </w:r>
    </w:p>
    <w:p w:rsidR="00B83DF3" w:rsidP="00B83DF3">
      <w:pPr>
        <w:pStyle w:val="BodyText"/>
      </w:pPr>
      <w:r w:rsidRPr="00E641AE">
        <w:t>Foundation skills essential to performance are explicit in the performance criteria of this unit of compete</w:t>
      </w:r>
      <w:r w:rsidRPr="00E641AE">
        <w:t>ncy.</w:t>
      </w:r>
    </w:p>
    <w:p w:rsidR="00000000" w:rsidRPr="00E641AE" w:rsidP="00E641AE">
      <w:pPr>
        <w:pStyle w:val="Heading1"/>
      </w:pPr>
      <w:bookmarkStart w:id="8" w:name="O_841978"/>
      <w:bookmarkEnd w:id="8"/>
      <w:r w:rsidRPr="00E641AE">
        <w:t>Range of Conditions</w:t>
      </w:r>
    </w:p>
    <w:p w:rsidR="00000000" w:rsidRPr="00E641AE" w:rsidP="00B83DF3">
      <w:pPr>
        <w:pStyle w:val="BodyText"/>
      </w:pPr>
      <w:r w:rsidRPr="00E641AE">
        <w:t>Range is restricted to essential operating conditions and any other variables essential to the work environment.</w:t>
      </w:r>
    </w:p>
    <w:p w:rsidR="00B83DF3" w:rsidP="00B83DF3">
      <w:pPr>
        <w:pStyle w:val="BodyText"/>
      </w:pPr>
      <w:r w:rsidRPr="00E641AE">
        <w:t>Non-essential conditions can be found in the Companion Volume Implementation Guide.</w:t>
      </w:r>
    </w:p>
    <w:p w:rsidR="00000000" w:rsidRPr="00E641AE" w:rsidP="00E641AE">
      <w:pPr>
        <w:pStyle w:val="Heading1"/>
      </w:pPr>
      <w:bookmarkStart w:id="9" w:name="O_841979"/>
      <w:bookmarkEnd w:id="9"/>
      <w:r w:rsidRPr="00E641AE">
        <w:t>Unit Mapping Information</w:t>
      </w:r>
    </w:p>
    <w:p w:rsidR="00B83DF3" w:rsidP="00B83DF3">
      <w:pPr>
        <w:pStyle w:val="BodyText"/>
      </w:pPr>
      <w:r w:rsidRPr="00E641AE">
        <w:t>This unit replaces and is equivalent to TLIC2012A Ride courier/delivery motorcycle.</w:t>
      </w:r>
    </w:p>
    <w:p w:rsidR="00000000" w:rsidRPr="00E641AE" w:rsidP="00E641AE">
      <w:pPr>
        <w:pStyle w:val="Heading1"/>
      </w:pPr>
      <w:bookmarkStart w:id="10" w:name="O_841986"/>
      <w:bookmarkEnd w:id="10"/>
      <w:r w:rsidRPr="00E641AE">
        <w:t>Links</w:t>
      </w:r>
    </w:p>
    <w:p w:rsidR="00000000" w:rsidRPr="00E641AE" w:rsidP="00B83DF3">
      <w:pPr>
        <w:pStyle w:val="BodyText"/>
      </w:pPr>
      <w:r w:rsidRPr="00E64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B1F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41AE" w:rsidP="00E641AE"/>
    <w:sectPr w:rsidSect="00E641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AE" w:rsidRPr="00B83DF3" w:rsidP="00B83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F3" w:rsidP="00E64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DF3" w:rsidP="00E64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DF3" w:rsidP="00E64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1AE" w:rsidRPr="00B83DF3" w:rsidP="00B83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DF3" w:rsidRPr="002D2AF8" w:rsidP="00E64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TLIC2012 Ride courier/delivery motorcycle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83DF3" w:rsidP="00E64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1AE"/>
  </w:style>
  <w:style w:type="character" w:customStyle="1" w:styleId="Heading1Char">
    <w:name w:val="Heading 1 Char"/>
    <w:basedOn w:val="DefaultParagraphFont"/>
    <w:link w:val="Heading1"/>
    <w:rsid w:val="00E64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1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41AE"/>
    <w:rPr>
      <w:b/>
      <w:spacing w:val="0"/>
    </w:rPr>
  </w:style>
  <w:style w:type="paragraph" w:customStyle="1" w:styleId="SuperHeading">
    <w:name w:val="SuperHeading"/>
    <w:basedOn w:val="Normal"/>
    <w:rsid w:val="00E64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1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4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1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1AE"/>
    <w:rPr>
      <w:i/>
    </w:rPr>
  </w:style>
  <w:style w:type="paragraph" w:styleId="Caption">
    <w:name w:val="caption"/>
    <w:basedOn w:val="BodyText"/>
    <w:next w:val="Normal"/>
    <w:qFormat/>
    <w:rsid w:val="00E64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1AE"/>
  </w:style>
  <w:style w:type="paragraph" w:styleId="TableofFigures">
    <w:name w:val="table of figures"/>
    <w:basedOn w:val="Normal"/>
    <w:next w:val="Normal"/>
    <w:semiHidden/>
    <w:rsid w:val="00E64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1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41AE"/>
    <w:rPr>
      <w:rFonts w:ascii="Wingdings" w:hAnsi="Wingdings"/>
    </w:rPr>
  </w:style>
  <w:style w:type="paragraph" w:customStyle="1" w:styleId="TableHeading">
    <w:name w:val="Table Heading"/>
    <w:basedOn w:val="HeadingBase"/>
    <w:rsid w:val="00E64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1AE"/>
    <w:rPr>
      <w:color w:val="0033CC"/>
      <w:u w:val="none"/>
    </w:rPr>
  </w:style>
  <w:style w:type="paragraph" w:customStyle="1" w:styleId="BodyTextRight">
    <w:name w:val="Body Text Right"/>
    <w:basedOn w:val="BodyText"/>
    <w:rsid w:val="00E64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1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1AE"/>
    <w:rPr>
      <w:sz w:val="32"/>
    </w:rPr>
  </w:style>
  <w:style w:type="paragraph" w:customStyle="1" w:styleId="HeadingProcedure">
    <w:name w:val="Heading Procedure"/>
    <w:basedOn w:val="HeadingBase"/>
    <w:next w:val="Normal"/>
    <w:rsid w:val="00E64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1AE"/>
    <w:pPr>
      <w:spacing w:before="60" w:after="60"/>
    </w:pPr>
  </w:style>
  <w:style w:type="paragraph" w:styleId="ListContinue">
    <w:name w:val="List Continue"/>
    <w:basedOn w:val="List"/>
    <w:rsid w:val="00E641AE"/>
    <w:pPr>
      <w:ind w:firstLine="0"/>
    </w:pPr>
  </w:style>
  <w:style w:type="paragraph" w:customStyle="1" w:styleId="ListNote">
    <w:name w:val="List Note"/>
    <w:basedOn w:val="List"/>
    <w:rsid w:val="00E64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1AE"/>
    <w:rPr>
      <w:rFonts w:ascii="Courier New" w:hAnsi="Courier New"/>
    </w:rPr>
  </w:style>
  <w:style w:type="paragraph" w:customStyle="1" w:styleId="NoteBullet">
    <w:name w:val="Note Bullet"/>
    <w:basedOn w:val="Note"/>
    <w:rsid w:val="00E64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1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4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1AE"/>
    <w:rPr>
      <w:b/>
      <w:smallCaps/>
    </w:rPr>
  </w:style>
  <w:style w:type="paragraph" w:customStyle="1" w:styleId="TableListNumber">
    <w:name w:val="Table List Number"/>
    <w:basedOn w:val="ListNumber"/>
    <w:rsid w:val="00E64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1AE"/>
    <w:pPr>
      <w:numPr>
        <w:numId w:val="7"/>
      </w:numPr>
    </w:pPr>
  </w:style>
  <w:style w:type="paragraph" w:customStyle="1" w:styleId="ListAlpha2">
    <w:name w:val="List Alpha 2"/>
    <w:basedOn w:val="List2"/>
    <w:rsid w:val="00E641AE"/>
    <w:pPr>
      <w:numPr>
        <w:numId w:val="6"/>
      </w:numPr>
    </w:pPr>
  </w:style>
  <w:style w:type="paragraph" w:styleId="List2">
    <w:name w:val="List 2"/>
    <w:basedOn w:val="BodyText"/>
    <w:rsid w:val="00E64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1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1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41AE"/>
    <w:pPr>
      <w:numPr>
        <w:numId w:val="2"/>
      </w:numPr>
    </w:pPr>
  </w:style>
  <w:style w:type="paragraph" w:styleId="ListContinue2">
    <w:name w:val="List Continue 2"/>
    <w:basedOn w:val="List2"/>
    <w:rsid w:val="00E641AE"/>
    <w:pPr>
      <w:ind w:firstLine="0"/>
    </w:pPr>
  </w:style>
  <w:style w:type="paragraph" w:styleId="ListContinue3">
    <w:name w:val="List Continue 3"/>
    <w:basedOn w:val="List3"/>
    <w:rsid w:val="00E641AE"/>
    <w:pPr>
      <w:ind w:left="1021" w:firstLine="0"/>
    </w:pPr>
  </w:style>
  <w:style w:type="paragraph" w:styleId="ListContinue4">
    <w:name w:val="List Continue 4"/>
    <w:basedOn w:val="List4"/>
    <w:rsid w:val="00E641AE"/>
    <w:pPr>
      <w:ind w:firstLine="0"/>
    </w:pPr>
  </w:style>
  <w:style w:type="paragraph" w:styleId="ListContinue5">
    <w:name w:val="List Continue 5"/>
    <w:basedOn w:val="List5"/>
    <w:rsid w:val="00E641AE"/>
    <w:pPr>
      <w:ind w:firstLine="0"/>
    </w:pPr>
  </w:style>
  <w:style w:type="paragraph" w:styleId="ListNumber3">
    <w:name w:val="List Number 3"/>
    <w:basedOn w:val="List3"/>
    <w:rsid w:val="00E641AE"/>
    <w:pPr>
      <w:numPr>
        <w:numId w:val="3"/>
      </w:numPr>
    </w:pPr>
  </w:style>
  <w:style w:type="paragraph" w:styleId="ListNumber4">
    <w:name w:val="List Number 4"/>
    <w:basedOn w:val="List4"/>
    <w:rsid w:val="00E641AE"/>
    <w:pPr>
      <w:numPr>
        <w:numId w:val="4"/>
      </w:numPr>
    </w:pPr>
  </w:style>
  <w:style w:type="paragraph" w:styleId="ListNumber5">
    <w:name w:val="List Number 5"/>
    <w:basedOn w:val="List5"/>
    <w:rsid w:val="00E641AE"/>
    <w:pPr>
      <w:numPr>
        <w:numId w:val="5"/>
      </w:numPr>
    </w:pPr>
  </w:style>
  <w:style w:type="paragraph" w:styleId="BlockText">
    <w:name w:val="Block Text"/>
    <w:basedOn w:val="Normal"/>
    <w:rsid w:val="00E64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1AE"/>
    <w:rPr>
      <w:sz w:val="16"/>
      <w:vertAlign w:val="superscript"/>
    </w:rPr>
  </w:style>
  <w:style w:type="character" w:customStyle="1" w:styleId="Symbols">
    <w:name w:val="Symbols"/>
    <w:basedOn w:val="DefaultParagraphFont"/>
    <w:rsid w:val="00E641AE"/>
    <w:rPr>
      <w:rFonts w:ascii="Symbol" w:hAnsi="Symbol"/>
    </w:rPr>
  </w:style>
  <w:style w:type="character" w:customStyle="1" w:styleId="MenuOptions">
    <w:name w:val="Menu Options"/>
    <w:basedOn w:val="DefaultParagraphFont"/>
    <w:rsid w:val="00E64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1AE"/>
    <w:rPr>
      <w:b/>
    </w:rPr>
  </w:style>
  <w:style w:type="character" w:customStyle="1" w:styleId="Underlined">
    <w:name w:val="Underlined"/>
    <w:basedOn w:val="DefaultParagraphFont"/>
    <w:rsid w:val="00E641AE"/>
    <w:rPr>
      <w:u w:val="single"/>
    </w:rPr>
  </w:style>
  <w:style w:type="paragraph" w:customStyle="1" w:styleId="TableBodyTextRight">
    <w:name w:val="Table Body Text Right"/>
    <w:basedOn w:val="TableBodyText"/>
    <w:rsid w:val="00E64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1AE"/>
    <w:rPr>
      <w:sz w:val="18"/>
    </w:rPr>
  </w:style>
  <w:style w:type="paragraph" w:customStyle="1" w:styleId="BodySmallRight">
    <w:name w:val="Body Small Right"/>
    <w:basedOn w:val="BodyTextRight"/>
    <w:rsid w:val="00E641AE"/>
    <w:rPr>
      <w:sz w:val="18"/>
      <w:szCs w:val="18"/>
    </w:rPr>
  </w:style>
  <w:style w:type="paragraph" w:customStyle="1" w:styleId="MarginEdition">
    <w:name w:val="Margin Edition"/>
    <w:basedOn w:val="MarginNote"/>
    <w:rsid w:val="00E64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1AE"/>
    <w:rPr>
      <w:sz w:val="2"/>
      <w:szCs w:val="2"/>
    </w:rPr>
  </w:style>
  <w:style w:type="character" w:customStyle="1" w:styleId="Small">
    <w:name w:val="Small"/>
    <w:basedOn w:val="DefaultParagraphFont"/>
    <w:rsid w:val="00E641AE"/>
    <w:rPr>
      <w:sz w:val="16"/>
    </w:rPr>
  </w:style>
  <w:style w:type="paragraph" w:customStyle="1" w:styleId="WideTable">
    <w:name w:val="Wide Table"/>
    <w:basedOn w:val="Normal"/>
    <w:rsid w:val="00E64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1AE"/>
  </w:style>
  <w:style w:type="paragraph" w:styleId="Quote">
    <w:name w:val="Quote"/>
    <w:basedOn w:val="Heading1"/>
    <w:link w:val="QuoteChar"/>
    <w:qFormat/>
    <w:rsid w:val="00E64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1AE"/>
    <w:pPr>
      <w:pageBreakBefore/>
    </w:pPr>
  </w:style>
  <w:style w:type="paragraph" w:customStyle="1" w:styleId="Border">
    <w:name w:val="Border"/>
    <w:basedOn w:val="Normal"/>
    <w:qFormat/>
    <w:rsid w:val="00E64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1AE"/>
    <w:rPr>
      <w:u w:val="single"/>
    </w:rPr>
  </w:style>
  <w:style w:type="character" w:customStyle="1" w:styleId="BoldandItalics">
    <w:name w:val="Bold and Italics"/>
    <w:qFormat/>
    <w:rsid w:val="00E641AE"/>
    <w:rPr>
      <w:b/>
      <w:i/>
      <w:u w:val="none"/>
    </w:rPr>
  </w:style>
  <w:style w:type="paragraph" w:styleId="BalloonText">
    <w:name w:val="Balloon Text"/>
    <w:basedOn w:val="Normal"/>
    <w:link w:val="BalloonTextChar"/>
    <w:rsid w:val="00E64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1AE"/>
    <w:pPr>
      <w:spacing w:before="0" w:after="0"/>
    </w:pPr>
  </w:style>
  <w:style w:type="paragraph" w:customStyle="1" w:styleId="BodyTextBold">
    <w:name w:val="Body Text Bold"/>
    <w:basedOn w:val="BodyText"/>
    <w:qFormat/>
    <w:rsid w:val="00E641AE"/>
    <w:rPr>
      <w:b/>
    </w:rPr>
  </w:style>
  <w:style w:type="character" w:styleId="Hyperlink">
    <w:name w:val="Hyperlink"/>
    <w:basedOn w:val="DefaultParagraphFont"/>
    <w:uiPriority w:val="99"/>
    <w:unhideWhenUsed/>
    <w:rsid w:val="00B83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3710</Characters>
  <Application>Microsoft Office Word</Application>
  <DocSecurity>0</DocSecurity>
  <Lines>154</Lines>
  <Paragraphs>80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TLIC2012 Ride courier/delivery motorcycle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2021-04-12T02:05:00Z</dcterms:created>
  <dcterms:modified xsi:type="dcterms:W3CDTF">2021-04-12T02:05:00Z</dcterms:modified>
</cp:coreProperties>
</file>