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0F1" w:rsidP="003A2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TLIC2002 Drive light rigid vehicle</w:t>
      </w:r>
      <w:r>
        <w:fldChar w:fldCharType="end"/>
      </w:r>
    </w:p>
    <w:p w:rsidR="003A20F1" w:rsidP="003A20F1">
      <w:pPr>
        <w:pStyle w:val="Version"/>
        <w:sectPr w:rsidSect="00140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01B3" w:rsidP="001401B3">
      <w:pPr>
        <w:pStyle w:val="SuperHeading"/>
      </w:pPr>
      <w:r w:rsidRPr="001401B3">
        <w:t>Assessment Requirements for TLIC2002 Drive light rigid vehicle</w:t>
      </w:r>
    </w:p>
    <w:p w:rsidR="00000000" w:rsidRPr="001401B3" w:rsidP="001401B3">
      <w:pPr>
        <w:pStyle w:val="Heading1"/>
      </w:pPr>
      <w:bookmarkStart w:id="1" w:name="O_1066665"/>
      <w:bookmarkEnd w:id="1"/>
      <w:r w:rsidRPr="001401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B3" w:rsidP="001401B3">
            <w:pPr>
              <w:pStyle w:val="BodyText"/>
            </w:pPr>
            <w:r w:rsidRPr="001401B3">
              <w:rPr>
                <w:rStyle w:val="SpecialBold"/>
              </w:rPr>
              <w:t xml:space="preserve">Release 2. </w:t>
            </w:r>
            <w:r w:rsidRPr="001401B3">
              <w:t>This is the second release of this unit of competency in the TLI Transport and Logistics Training Package:</w:t>
            </w:r>
          </w:p>
          <w:p w:rsidR="00000000" w:rsidP="001401B3">
            <w:pPr>
              <w:pStyle w:val="ListBullet"/>
              <w:rPr>
                <w:lang w:val="en-NZ"/>
              </w:rPr>
            </w:pPr>
            <w:r w:rsidRPr="001401B3">
              <w:t>Mino</w:t>
            </w:r>
            <w:r w:rsidRPr="001401B3">
              <w:t>r statement changes in Assessment Conditions.</w:t>
            </w:r>
          </w:p>
        </w:tc>
      </w:tr>
      <w:tr w:rsidTr="00140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B3" w:rsidP="001401B3">
            <w:pPr>
              <w:pStyle w:val="BodyText"/>
            </w:pPr>
            <w:r w:rsidRPr="001401B3">
              <w:rPr>
                <w:rStyle w:val="SpecialBold"/>
              </w:rPr>
              <w:t xml:space="preserve">Release 1. </w:t>
            </w:r>
            <w:r w:rsidRPr="001401B3">
              <w:t>This is the first release of this unit of competency in the TLI Transport and Logistics Training Package.</w:t>
            </w:r>
          </w:p>
        </w:tc>
      </w:tr>
    </w:tbl>
    <w:p w:rsidR="00000000" w:rsidRPr="001401B3" w:rsidP="001401B3">
      <w:pPr>
        <w:pStyle w:val="NoPaddingFontSize1"/>
      </w:pPr>
    </w:p>
    <w:p w:rsidR="00000000" w:rsidRPr="001401B3" w:rsidP="001401B3">
      <w:pPr>
        <w:pStyle w:val="AllowPageBreak"/>
      </w:pPr>
    </w:p>
    <w:p w:rsidR="00000000" w:rsidRPr="001401B3" w:rsidP="001401B3">
      <w:pPr>
        <w:pStyle w:val="Heading1"/>
      </w:pPr>
      <w:bookmarkStart w:id="2" w:name="O_1066664"/>
      <w:bookmarkEnd w:id="2"/>
      <w:r w:rsidRPr="001401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B3" w:rsidP="001401B3">
            <w:pPr>
              <w:pStyle w:val="BodyText"/>
            </w:pPr>
            <w:r w:rsidRPr="001401B3">
              <w:t>Evidence required to demonstrate competence in thi</w:t>
            </w:r>
            <w:r w:rsidRPr="001401B3">
              <w:t>s unit must be relevant to and satisfy all of the requirements of the elements and performance criteria on at least one occasion and include:</w:t>
            </w:r>
          </w:p>
          <w:p w:rsidR="00000000" w:rsidRPr="001401B3" w:rsidP="001401B3">
            <w:pPr>
              <w:pStyle w:val="ListBullet"/>
            </w:pPr>
            <w:r w:rsidRPr="001401B3">
              <w:t>applying precautions and required action to minimise, control or eliminate identified hazards</w:t>
            </w:r>
          </w:p>
          <w:p w:rsidR="00000000" w:rsidRPr="001401B3" w:rsidP="001401B3">
            <w:pPr>
              <w:pStyle w:val="ListBullet"/>
            </w:pPr>
            <w:r w:rsidRPr="001401B3">
              <w:t>carrying out pre-op</w:t>
            </w:r>
            <w:r w:rsidRPr="001401B3">
              <w:t>erational checks on vehicle</w:t>
            </w:r>
          </w:p>
          <w:p w:rsidR="00000000" w:rsidRPr="001401B3" w:rsidP="001401B3">
            <w:pPr>
              <w:pStyle w:val="ListBullet"/>
            </w:pPr>
            <w:r w:rsidRPr="001401B3">
              <w:t>completing relevant documentation</w:t>
            </w:r>
          </w:p>
          <w:p w:rsidR="00000000" w:rsidRPr="001401B3" w:rsidP="001401B3">
            <w:pPr>
              <w:pStyle w:val="ListBullet"/>
            </w:pPr>
            <w:r w:rsidRPr="001401B3">
              <w:t>demonstrating low-risk driving behaviours</w:t>
            </w:r>
          </w:p>
          <w:p w:rsidR="00000000" w:rsidRPr="001401B3" w:rsidP="001401B3">
            <w:pPr>
              <w:pStyle w:val="ListBullet"/>
            </w:pPr>
            <w:r w:rsidRPr="001401B3">
              <w:t>modifying activities depending on operational contingencies, risk situations and environments</w:t>
            </w:r>
          </w:p>
          <w:p w:rsidR="00000000" w:rsidRPr="001401B3" w:rsidP="001401B3">
            <w:pPr>
              <w:pStyle w:val="ListBullet"/>
            </w:pPr>
            <w:r w:rsidRPr="001401B3">
              <w:t>monitoring and anticipating traffic hazards and taking appropriate action</w:t>
            </w:r>
          </w:p>
          <w:p w:rsidR="00000000" w:rsidRPr="001401B3" w:rsidP="001401B3">
            <w:pPr>
              <w:pStyle w:val="ListBullet"/>
            </w:pPr>
            <w:r w:rsidRPr="001401B3">
              <w:t>reading and interpreting relevant instructions, procedures, information and signs</w:t>
            </w:r>
          </w:p>
          <w:p w:rsidR="00000000" w:rsidRPr="001401B3" w:rsidP="001401B3">
            <w:pPr>
              <w:pStyle w:val="ListBullet"/>
            </w:pPr>
            <w:r w:rsidRPr="001401B3">
              <w:t xml:space="preserve">reporting and/or rectifying identified problems, faults or malfunctions promptly in accordance with </w:t>
            </w:r>
            <w:r w:rsidRPr="001401B3">
              <w:t>regulatory requirements and workplace procedures.</w:t>
            </w:r>
          </w:p>
        </w:tc>
      </w:tr>
    </w:tbl>
    <w:p w:rsidR="003A20F1" w:rsidP="001401B3">
      <w:pPr>
        <w:pStyle w:val="NoPaddingFontSize1"/>
      </w:pPr>
    </w:p>
    <w:p w:rsidR="003A20F1" w:rsidP="001401B3">
      <w:pPr>
        <w:pStyle w:val="NoPaddingFontSize1"/>
      </w:pPr>
    </w:p>
    <w:p w:rsidR="00000000" w:rsidRPr="001401B3" w:rsidP="001401B3">
      <w:pPr>
        <w:pStyle w:val="Heading1"/>
      </w:pPr>
      <w:bookmarkStart w:id="3" w:name="O_1066663"/>
      <w:bookmarkEnd w:id="3"/>
      <w:r w:rsidRPr="001401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B3" w:rsidP="001401B3">
            <w:pPr>
              <w:pStyle w:val="BodyText"/>
            </w:pPr>
            <w:r w:rsidRPr="001401B3">
              <w:t>Evidence required to demonstrate competence in this unit must be relevant to and satisfy all of the requirements of the elements and performance criteria and include</w:t>
            </w:r>
            <w:r w:rsidRPr="001401B3">
              <w:t xml:space="preserve"> knowledge of:</w:t>
            </w:r>
          </w:p>
          <w:p w:rsidR="00000000" w:rsidRPr="001401B3" w:rsidP="001401B3">
            <w:pPr>
              <w:pStyle w:val="ListBullet"/>
            </w:pPr>
            <w:r w:rsidRPr="001401B3">
              <w:t>causes and effects of fatigue on drivers</w:t>
            </w:r>
          </w:p>
          <w:p w:rsidR="00000000" w:rsidRPr="001401B3" w:rsidP="001401B3">
            <w:pPr>
              <w:pStyle w:val="ListBullet"/>
            </w:pPr>
            <w:r w:rsidRPr="001401B3">
              <w:t>differences between transmission types</w:t>
            </w:r>
          </w:p>
          <w:p w:rsidR="00000000" w:rsidRPr="001401B3" w:rsidP="001401B3">
            <w:pPr>
              <w:pStyle w:val="ListBullet"/>
            </w:pPr>
            <w:r w:rsidRPr="001401B3">
              <w:t>driving hazards and related defensive driving techniques</w:t>
            </w:r>
          </w:p>
          <w:p w:rsidR="00000000" w:rsidRPr="001401B3" w:rsidP="001401B3">
            <w:pPr>
              <w:pStyle w:val="ListBullet"/>
            </w:pPr>
            <w:r w:rsidRPr="001401B3">
              <w:t>efficient driving techniques</w:t>
            </w:r>
          </w:p>
          <w:p w:rsidR="00000000" w:rsidRPr="001401B3" w:rsidP="001401B3">
            <w:pPr>
              <w:pStyle w:val="ListBullet"/>
            </w:pPr>
            <w:r w:rsidRPr="001401B3">
              <w:t>engine power management and safe driving strategies</w:t>
            </w:r>
          </w:p>
          <w:p w:rsidR="00000000" w:rsidRPr="001401B3" w:rsidP="001401B3">
            <w:pPr>
              <w:pStyle w:val="ListBullet"/>
            </w:pPr>
            <w:r w:rsidRPr="001401B3">
              <w:t>factors that increase fatigue-related accidents</w:t>
            </w:r>
          </w:p>
          <w:p w:rsidR="00000000" w:rsidRPr="001401B3" w:rsidP="001401B3">
            <w:pPr>
              <w:pStyle w:val="ListBullet"/>
            </w:pPr>
            <w:r w:rsidRPr="001401B3">
              <w:t>factors that may cause traffic delays and diversions and related actions that can be taken</w:t>
            </w:r>
          </w:p>
          <w:p w:rsidR="00000000" w:rsidRPr="001401B3" w:rsidP="001401B3">
            <w:pPr>
              <w:pStyle w:val="ListBullet"/>
            </w:pPr>
            <w:r w:rsidRPr="001401B3">
              <w:t>fatigue management strategies including on-road techniques</w:t>
            </w:r>
          </w:p>
          <w:p w:rsidR="00000000" w:rsidRPr="001401B3" w:rsidP="001401B3">
            <w:pPr>
              <w:pStyle w:val="ListBullet"/>
            </w:pPr>
            <w:r w:rsidRPr="001401B3">
              <w:t>lifestyles that promote effective long-term fatigue manage</w:t>
            </w:r>
            <w:r w:rsidRPr="001401B3">
              <w:t>ment</w:t>
            </w:r>
          </w:p>
          <w:p w:rsidR="00000000" w:rsidRPr="001401B3" w:rsidP="001401B3">
            <w:pPr>
              <w:pStyle w:val="ListBullet"/>
            </w:pPr>
            <w:r w:rsidRPr="001401B3">
              <w:t>light rigid vehicle controls, instruments and indicators and their use</w:t>
            </w:r>
          </w:p>
          <w:p w:rsidR="00000000" w:rsidRPr="001401B3" w:rsidP="001401B3">
            <w:pPr>
              <w:pStyle w:val="ListBullet"/>
            </w:pPr>
            <w:r w:rsidRPr="001401B3">
              <w:t>light rigid vehicle handling procedures</w:t>
            </w:r>
          </w:p>
          <w:p w:rsidR="00000000" w:rsidRPr="001401B3" w:rsidP="001401B3">
            <w:pPr>
              <w:pStyle w:val="ListBullet"/>
            </w:pPr>
            <w:r w:rsidRPr="001401B3">
              <w:t xml:space="preserve">map reading and road navigation techniques including using a global positioning system </w:t>
            </w:r>
            <w:r w:rsidRPr="001401B3">
              <w:t>(GPS) device, as required</w:t>
            </w:r>
          </w:p>
          <w:p w:rsidR="00000000" w:rsidRPr="001401B3" w:rsidP="001401B3">
            <w:pPr>
              <w:pStyle w:val="ListBullet"/>
            </w:pPr>
            <w:r w:rsidRPr="001401B3">
              <w:t>pre-operational checks carr</w:t>
            </w:r>
            <w:r w:rsidRPr="001401B3">
              <w:t>ied out on vehicle and related actions</w:t>
            </w:r>
          </w:p>
          <w:p w:rsidR="00000000" w:rsidRPr="001401B3" w:rsidP="001401B3">
            <w:pPr>
              <w:pStyle w:val="ListBullet"/>
            </w:pPr>
            <w:r w:rsidRPr="001401B3">
              <w:t>principles of stress management when driving a vehicle</w:t>
            </w:r>
          </w:p>
          <w:p w:rsidR="00000000" w:rsidRPr="001401B3" w:rsidP="001401B3">
            <w:pPr>
              <w:pStyle w:val="ListBullet"/>
            </w:pPr>
            <w:r w:rsidRPr="001401B3">
              <w:t>procedures to be followed in a driving emergency</w:t>
            </w:r>
          </w:p>
          <w:p w:rsidR="00000000" w:rsidRPr="001401B3" w:rsidP="001401B3">
            <w:pPr>
              <w:pStyle w:val="ListBullet"/>
            </w:pPr>
            <w:r w:rsidRPr="001401B3">
              <w:t>relevant state/territory road and traffic authority road rules, regulations, permits and licence requirements</w:t>
            </w:r>
          </w:p>
          <w:p w:rsidR="00000000" w:rsidRPr="001401B3" w:rsidP="001401B3">
            <w:pPr>
              <w:pStyle w:val="ListBullet"/>
            </w:pPr>
            <w:r w:rsidRPr="001401B3">
              <w:t>rel</w:t>
            </w:r>
            <w:r w:rsidRPr="001401B3">
              <w:t>evant work health and safety (WHS)/occupational health and safety (OHS) and environmental procedures and regulations</w:t>
            </w:r>
          </w:p>
          <w:p w:rsidR="00000000" w:rsidRPr="001401B3" w:rsidP="001401B3">
            <w:pPr>
              <w:pStyle w:val="ListBullet"/>
            </w:pPr>
            <w:r w:rsidRPr="001401B3">
              <w:t>workplace driving and operational instructions.</w:t>
            </w:r>
          </w:p>
        </w:tc>
      </w:tr>
    </w:tbl>
    <w:p w:rsidR="00000000" w:rsidRPr="001401B3" w:rsidP="001401B3">
      <w:pPr>
        <w:pStyle w:val="NoPaddingFontSize1"/>
      </w:pPr>
    </w:p>
    <w:p w:rsidR="00000000" w:rsidRPr="001401B3" w:rsidP="001401B3">
      <w:pPr>
        <w:pStyle w:val="AllowPageBreak"/>
      </w:pPr>
    </w:p>
    <w:p w:rsidR="00000000" w:rsidRPr="001401B3" w:rsidP="001401B3">
      <w:pPr>
        <w:pStyle w:val="Heading1"/>
      </w:pPr>
      <w:bookmarkStart w:id="4" w:name="O_1066662"/>
      <w:bookmarkEnd w:id="4"/>
      <w:r w:rsidRPr="001401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1B3" w:rsidP="001401B3">
            <w:pPr>
              <w:pStyle w:val="BodyText"/>
            </w:pPr>
            <w:r w:rsidRPr="001401B3">
              <w:t xml:space="preserve">Assessors must hold credentials specified within the Standards for Registered Training Organisations current at the time of assessment. </w:t>
            </w:r>
          </w:p>
          <w:p w:rsidR="00000000" w:rsidRPr="001401B3" w:rsidP="001401B3">
            <w:pPr>
              <w:pStyle w:val="BodyText"/>
            </w:pPr>
            <w:r w:rsidRPr="001401B3">
              <w:t>Assessment must satisfy the Principles of Assessment and Rules of Evidence and all regulatory requirements included wit</w:t>
            </w:r>
            <w:r w:rsidRPr="001401B3">
              <w:t>hin the Standards for Registered Training Organisations current at the time of assessment.</w:t>
            </w:r>
          </w:p>
          <w:p w:rsidR="00000000" w:rsidRPr="001401B3" w:rsidP="001401B3">
            <w:pPr>
              <w:pStyle w:val="BodyText"/>
            </w:pPr>
            <w:r w:rsidRPr="001401B3">
              <w:t>Assessment must occur in workplace operational situations where it is appropriate to do so; where this is not appropriate, assessment must occur in simulated workpla</w:t>
            </w:r>
            <w:r w:rsidRPr="001401B3">
              <w:t>ce operational situations that replicate workplace conditions.</w:t>
            </w:r>
          </w:p>
          <w:p w:rsidR="00000000" w:rsidRPr="001401B3" w:rsidP="001401B3">
            <w:pPr>
              <w:pStyle w:val="BodyText"/>
            </w:pPr>
            <w:r w:rsidRPr="001401B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401B3" w:rsidP="001401B3">
            <w:pPr>
              <w:pStyle w:val="BodyText"/>
            </w:pPr>
            <w:r w:rsidRPr="001401B3">
              <w:t>Assessment of this unit m</w:t>
            </w:r>
            <w:r w:rsidRPr="001401B3">
              <w:t>ay be undertaken within a licensing examination conducted by, or under the authority of, the relevant state/territory road and traffic authority.</w:t>
            </w:r>
          </w:p>
          <w:p w:rsidR="00000000" w:rsidRPr="001401B3" w:rsidP="001401B3">
            <w:pPr>
              <w:pStyle w:val="BodyText"/>
            </w:pPr>
            <w:r w:rsidRPr="001401B3">
              <w:t>Resources for assessment must include:</w:t>
            </w:r>
          </w:p>
          <w:p w:rsidR="00000000" w:rsidRPr="001401B3" w:rsidP="001401B3">
            <w:pPr>
              <w:pStyle w:val="ListBullet"/>
            </w:pPr>
            <w:r w:rsidRPr="001401B3">
              <w:t>a range of relevant exercises, case studies and/or simulations</w:t>
            </w:r>
          </w:p>
          <w:p w:rsidR="00000000" w:rsidRPr="001401B3" w:rsidP="001401B3">
            <w:pPr>
              <w:pStyle w:val="ListBullet"/>
            </w:pPr>
            <w:r w:rsidRPr="001401B3">
              <w:t>relevan</w:t>
            </w:r>
            <w:r w:rsidRPr="001401B3">
              <w:t>t materials, tools, equipment and personal protective equipment (PPE) currently used in industry</w:t>
            </w:r>
          </w:p>
          <w:p w:rsidR="00000000" w:rsidRPr="001401B3" w:rsidP="001401B3">
            <w:pPr>
              <w:pStyle w:val="ListBullet"/>
            </w:pPr>
            <w:r w:rsidRPr="001401B3">
              <w:t>applicable documentation, including workplace procedures, regulations, codes of practice and operation manuals.</w:t>
            </w:r>
          </w:p>
        </w:tc>
      </w:tr>
    </w:tbl>
    <w:p w:rsidR="00000000" w:rsidRPr="001401B3" w:rsidP="001401B3">
      <w:pPr>
        <w:pStyle w:val="NoPaddingFontSize1"/>
      </w:pPr>
    </w:p>
    <w:p w:rsidR="00000000" w:rsidRPr="001401B3" w:rsidP="001401B3">
      <w:pPr>
        <w:pStyle w:val="AllowPageBreak"/>
      </w:pPr>
    </w:p>
    <w:p w:rsidR="00000000" w:rsidRPr="001401B3" w:rsidP="001401B3">
      <w:pPr>
        <w:pStyle w:val="Heading1"/>
      </w:pPr>
      <w:bookmarkStart w:id="5" w:name="O_1066677"/>
      <w:bookmarkEnd w:id="5"/>
      <w:r w:rsidRPr="001401B3">
        <w:t>Links</w:t>
      </w:r>
    </w:p>
    <w:p w:rsidR="00000000" w:rsidRPr="001401B3" w:rsidP="003A20F1">
      <w:pPr>
        <w:pStyle w:val="BodyText"/>
      </w:pPr>
      <w:r w:rsidRPr="001401B3">
        <w:t>Companion Volume Imp</w:t>
      </w:r>
      <w:r w:rsidRPr="001401B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467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01B3" w:rsidP="001401B3"/>
    <w:sectPr w:rsidSect="001401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B3" w:rsidRPr="003A20F1" w:rsidP="003A2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F1" w:rsidP="00140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0F1" w:rsidP="00140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20F1" w:rsidP="00140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1B3" w:rsidRPr="003A20F1" w:rsidP="003A2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F1" w:rsidRPr="002D2AF8" w:rsidP="00140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TLIC2002 Drive light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A20F1" w:rsidP="00140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45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FAE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1B3"/>
  </w:style>
  <w:style w:type="character" w:customStyle="1" w:styleId="Heading1Char">
    <w:name w:val="Heading 1 Char"/>
    <w:basedOn w:val="DefaultParagraphFont"/>
    <w:link w:val="Heading1"/>
    <w:rsid w:val="00140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1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1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1B3"/>
    <w:rPr>
      <w:b/>
      <w:spacing w:val="0"/>
    </w:rPr>
  </w:style>
  <w:style w:type="paragraph" w:customStyle="1" w:styleId="SuperHeading">
    <w:name w:val="SuperHeading"/>
    <w:basedOn w:val="Normal"/>
    <w:rsid w:val="00140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0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1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1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1B3"/>
    <w:rPr>
      <w:i/>
    </w:rPr>
  </w:style>
  <w:style w:type="paragraph" w:styleId="Caption">
    <w:name w:val="caption"/>
    <w:basedOn w:val="BodyText"/>
    <w:next w:val="Normal"/>
    <w:qFormat/>
    <w:rsid w:val="00140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1B3"/>
  </w:style>
  <w:style w:type="paragraph" w:styleId="TableofFigures">
    <w:name w:val="table of figures"/>
    <w:basedOn w:val="Normal"/>
    <w:next w:val="Normal"/>
    <w:semiHidden/>
    <w:rsid w:val="00140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1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01B3"/>
    <w:rPr>
      <w:rFonts w:ascii="Wingdings" w:hAnsi="Wingdings"/>
    </w:rPr>
  </w:style>
  <w:style w:type="paragraph" w:customStyle="1" w:styleId="TableHeading">
    <w:name w:val="Table Heading"/>
    <w:basedOn w:val="HeadingBase"/>
    <w:rsid w:val="00140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1B3"/>
    <w:rPr>
      <w:color w:val="0033CC"/>
      <w:u w:val="none"/>
    </w:rPr>
  </w:style>
  <w:style w:type="paragraph" w:customStyle="1" w:styleId="BodyTextRight">
    <w:name w:val="Body Text Right"/>
    <w:basedOn w:val="BodyText"/>
    <w:rsid w:val="00140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1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1B3"/>
    <w:rPr>
      <w:sz w:val="32"/>
    </w:rPr>
  </w:style>
  <w:style w:type="paragraph" w:customStyle="1" w:styleId="HeadingProcedure">
    <w:name w:val="Heading Procedure"/>
    <w:basedOn w:val="HeadingBase"/>
    <w:next w:val="Normal"/>
    <w:rsid w:val="00140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1B3"/>
    <w:pPr>
      <w:spacing w:before="60" w:after="60"/>
    </w:pPr>
  </w:style>
  <w:style w:type="paragraph" w:styleId="ListContinue">
    <w:name w:val="List Continue"/>
    <w:basedOn w:val="List"/>
    <w:rsid w:val="001401B3"/>
    <w:pPr>
      <w:ind w:firstLine="0"/>
    </w:pPr>
  </w:style>
  <w:style w:type="paragraph" w:customStyle="1" w:styleId="ListNote">
    <w:name w:val="List Note"/>
    <w:basedOn w:val="List"/>
    <w:rsid w:val="00140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1B3"/>
    <w:rPr>
      <w:rFonts w:ascii="Courier New" w:hAnsi="Courier New"/>
    </w:rPr>
  </w:style>
  <w:style w:type="paragraph" w:customStyle="1" w:styleId="NoteBullet">
    <w:name w:val="Note Bullet"/>
    <w:basedOn w:val="Note"/>
    <w:rsid w:val="00140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1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0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1B3"/>
    <w:rPr>
      <w:b/>
      <w:smallCaps/>
    </w:rPr>
  </w:style>
  <w:style w:type="paragraph" w:customStyle="1" w:styleId="TableListNumber">
    <w:name w:val="Table List Number"/>
    <w:basedOn w:val="ListNumber"/>
    <w:rsid w:val="00140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1B3"/>
    <w:pPr>
      <w:numPr>
        <w:numId w:val="8"/>
      </w:numPr>
    </w:pPr>
  </w:style>
  <w:style w:type="paragraph" w:customStyle="1" w:styleId="ListAlpha2">
    <w:name w:val="List Alpha 2"/>
    <w:basedOn w:val="List2"/>
    <w:rsid w:val="001401B3"/>
    <w:pPr>
      <w:numPr>
        <w:numId w:val="7"/>
      </w:numPr>
    </w:pPr>
  </w:style>
  <w:style w:type="paragraph" w:styleId="List2">
    <w:name w:val="List 2"/>
    <w:basedOn w:val="BodyText"/>
    <w:rsid w:val="00140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1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1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01B3"/>
    <w:pPr>
      <w:numPr>
        <w:numId w:val="3"/>
      </w:numPr>
    </w:pPr>
  </w:style>
  <w:style w:type="paragraph" w:styleId="ListContinue2">
    <w:name w:val="List Continue 2"/>
    <w:basedOn w:val="List2"/>
    <w:rsid w:val="001401B3"/>
    <w:pPr>
      <w:ind w:firstLine="0"/>
    </w:pPr>
  </w:style>
  <w:style w:type="paragraph" w:styleId="ListContinue3">
    <w:name w:val="List Continue 3"/>
    <w:basedOn w:val="List3"/>
    <w:rsid w:val="001401B3"/>
    <w:pPr>
      <w:ind w:left="1021" w:firstLine="0"/>
    </w:pPr>
  </w:style>
  <w:style w:type="paragraph" w:styleId="ListContinue4">
    <w:name w:val="List Continue 4"/>
    <w:basedOn w:val="List4"/>
    <w:rsid w:val="001401B3"/>
    <w:pPr>
      <w:ind w:firstLine="0"/>
    </w:pPr>
  </w:style>
  <w:style w:type="paragraph" w:styleId="ListContinue5">
    <w:name w:val="List Continue 5"/>
    <w:basedOn w:val="List5"/>
    <w:rsid w:val="001401B3"/>
    <w:pPr>
      <w:ind w:firstLine="0"/>
    </w:pPr>
  </w:style>
  <w:style w:type="paragraph" w:styleId="ListNumber3">
    <w:name w:val="List Number 3"/>
    <w:basedOn w:val="List3"/>
    <w:rsid w:val="001401B3"/>
    <w:pPr>
      <w:numPr>
        <w:numId w:val="4"/>
      </w:numPr>
    </w:pPr>
  </w:style>
  <w:style w:type="paragraph" w:styleId="ListNumber4">
    <w:name w:val="List Number 4"/>
    <w:basedOn w:val="List4"/>
    <w:rsid w:val="001401B3"/>
    <w:pPr>
      <w:numPr>
        <w:numId w:val="5"/>
      </w:numPr>
    </w:pPr>
  </w:style>
  <w:style w:type="paragraph" w:styleId="ListNumber5">
    <w:name w:val="List Number 5"/>
    <w:basedOn w:val="List5"/>
    <w:rsid w:val="001401B3"/>
    <w:pPr>
      <w:numPr>
        <w:numId w:val="6"/>
      </w:numPr>
    </w:pPr>
  </w:style>
  <w:style w:type="paragraph" w:styleId="BlockText">
    <w:name w:val="Block Text"/>
    <w:basedOn w:val="Normal"/>
    <w:rsid w:val="00140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1B3"/>
    <w:rPr>
      <w:sz w:val="16"/>
      <w:vertAlign w:val="superscript"/>
    </w:rPr>
  </w:style>
  <w:style w:type="character" w:customStyle="1" w:styleId="Symbols">
    <w:name w:val="Symbols"/>
    <w:basedOn w:val="DefaultParagraphFont"/>
    <w:rsid w:val="001401B3"/>
    <w:rPr>
      <w:rFonts w:ascii="Symbol" w:hAnsi="Symbol"/>
    </w:rPr>
  </w:style>
  <w:style w:type="character" w:customStyle="1" w:styleId="MenuOptions">
    <w:name w:val="Menu Options"/>
    <w:basedOn w:val="DefaultParagraphFont"/>
    <w:rsid w:val="00140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1B3"/>
    <w:rPr>
      <w:b/>
    </w:rPr>
  </w:style>
  <w:style w:type="character" w:customStyle="1" w:styleId="Underlined">
    <w:name w:val="Underlined"/>
    <w:basedOn w:val="DefaultParagraphFont"/>
    <w:rsid w:val="001401B3"/>
    <w:rPr>
      <w:u w:val="single"/>
    </w:rPr>
  </w:style>
  <w:style w:type="paragraph" w:customStyle="1" w:styleId="TableBodyTextRight">
    <w:name w:val="Table Body Text Right"/>
    <w:basedOn w:val="TableBodyText"/>
    <w:rsid w:val="00140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1B3"/>
    <w:rPr>
      <w:sz w:val="18"/>
    </w:rPr>
  </w:style>
  <w:style w:type="paragraph" w:customStyle="1" w:styleId="BodySmallRight">
    <w:name w:val="Body Small Right"/>
    <w:basedOn w:val="BodyTextRight"/>
    <w:rsid w:val="001401B3"/>
    <w:rPr>
      <w:sz w:val="18"/>
      <w:szCs w:val="18"/>
    </w:rPr>
  </w:style>
  <w:style w:type="paragraph" w:customStyle="1" w:styleId="MarginEdition">
    <w:name w:val="Margin Edition"/>
    <w:basedOn w:val="MarginNote"/>
    <w:rsid w:val="00140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1B3"/>
    <w:rPr>
      <w:sz w:val="2"/>
      <w:szCs w:val="2"/>
    </w:rPr>
  </w:style>
  <w:style w:type="character" w:customStyle="1" w:styleId="Small">
    <w:name w:val="Small"/>
    <w:basedOn w:val="DefaultParagraphFont"/>
    <w:rsid w:val="001401B3"/>
    <w:rPr>
      <w:sz w:val="16"/>
    </w:rPr>
  </w:style>
  <w:style w:type="paragraph" w:customStyle="1" w:styleId="WideTable">
    <w:name w:val="Wide Table"/>
    <w:basedOn w:val="Normal"/>
    <w:rsid w:val="00140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1B3"/>
  </w:style>
  <w:style w:type="paragraph" w:styleId="Quote">
    <w:name w:val="Quote"/>
    <w:basedOn w:val="Heading1"/>
    <w:link w:val="QuoteChar"/>
    <w:qFormat/>
    <w:rsid w:val="00140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1B3"/>
    <w:pPr>
      <w:pageBreakBefore/>
    </w:pPr>
  </w:style>
  <w:style w:type="paragraph" w:customStyle="1" w:styleId="Border">
    <w:name w:val="Border"/>
    <w:basedOn w:val="Normal"/>
    <w:qFormat/>
    <w:rsid w:val="00140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1B3"/>
    <w:rPr>
      <w:u w:val="single"/>
    </w:rPr>
  </w:style>
  <w:style w:type="character" w:customStyle="1" w:styleId="BoldandItalics">
    <w:name w:val="Bold and Italics"/>
    <w:qFormat/>
    <w:rsid w:val="001401B3"/>
    <w:rPr>
      <w:b/>
      <w:i/>
      <w:u w:val="none"/>
    </w:rPr>
  </w:style>
  <w:style w:type="paragraph" w:styleId="BalloonText">
    <w:name w:val="Balloon Text"/>
    <w:basedOn w:val="Normal"/>
    <w:link w:val="BalloonTextChar"/>
    <w:rsid w:val="00140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1B3"/>
    <w:pPr>
      <w:spacing w:before="0" w:after="0"/>
    </w:pPr>
  </w:style>
  <w:style w:type="paragraph" w:customStyle="1" w:styleId="BodyTextBold">
    <w:name w:val="Body Text Bold"/>
    <w:basedOn w:val="BodyText"/>
    <w:qFormat/>
    <w:rsid w:val="001401B3"/>
    <w:rPr>
      <w:b/>
    </w:rPr>
  </w:style>
  <w:style w:type="character" w:styleId="Hyperlink">
    <w:name w:val="Hyperlink"/>
    <w:basedOn w:val="DefaultParagraphFont"/>
    <w:uiPriority w:val="99"/>
    <w:unhideWhenUsed/>
    <w:rsid w:val="003A2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3664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TLIC2002 Drive light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