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8BE" w:rsidP="004D2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TLIC0079 Operate a motive power unit within defined limits</w:t>
      </w:r>
      <w:r>
        <w:fldChar w:fldCharType="end"/>
      </w:r>
    </w:p>
    <w:p w:rsidR="004D28BE" w:rsidP="004D28BE">
      <w:pPr>
        <w:pStyle w:val="Version"/>
        <w:sectPr w:rsidSect="00E35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50D3" w:rsidP="00E350D3">
      <w:pPr>
        <w:pStyle w:val="SuperHeading"/>
      </w:pPr>
      <w:r w:rsidRPr="00E350D3">
        <w:t>TLIC0079 Operate a motive power unit within defined limits</w:t>
      </w:r>
    </w:p>
    <w:p w:rsidR="00000000" w:rsidRPr="00E350D3" w:rsidP="00E350D3">
      <w:pPr>
        <w:pStyle w:val="Heading1"/>
      </w:pPr>
      <w:bookmarkStart w:id="1" w:name="O_1196280"/>
      <w:bookmarkEnd w:id="1"/>
      <w:r w:rsidRPr="00E350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rPr>
                <w:rStyle w:val="SpecialBold"/>
              </w:rPr>
              <w:t>Release 2</w:t>
            </w:r>
            <w:r w:rsidRPr="00E350D3">
              <w:t>. This is the second release of this unit of competency in the TLI Transport and Logistics Training Package:</w:t>
            </w:r>
          </w:p>
          <w:p w:rsidR="00000000" w:rsidRPr="00E350D3" w:rsidP="00E350D3">
            <w:pPr>
              <w:pStyle w:val="ListBullet"/>
            </w:pPr>
            <w:r w:rsidRPr="00E350D3">
              <w:t>Minor statement changes in Performance Evidence</w:t>
            </w:r>
          </w:p>
          <w:p w:rsidR="00000000" w:rsidRPr="00E350D3" w:rsidP="00E350D3">
            <w:pPr>
              <w:pStyle w:val="ListBullet"/>
            </w:pPr>
            <w:r w:rsidRPr="00E350D3">
              <w:t>Minor statement changes in Knowledge Evidence</w:t>
            </w:r>
          </w:p>
          <w:p w:rsidR="00000000" w:rsidP="00E350D3">
            <w:pPr>
              <w:pStyle w:val="ListBullet"/>
              <w:rPr>
                <w:lang w:val="en-NZ"/>
              </w:rPr>
            </w:pPr>
            <w:r w:rsidRPr="00E350D3">
              <w:t>Mino</w:t>
            </w:r>
            <w:r w:rsidRPr="00E350D3">
              <w:t>r statement changes in Assessment Conditions.</w:t>
            </w:r>
          </w:p>
        </w:tc>
      </w:tr>
      <w:tr w:rsidTr="00E35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rPr>
                <w:rStyle w:val="SpecialBold"/>
              </w:rPr>
              <w:t>Release 1.</w:t>
            </w:r>
            <w:r w:rsidRPr="00E350D3">
              <w:t xml:space="preserve"> This is the first release of this unit of competency in the TLI Transport and Logistics Training Package.</w:t>
            </w:r>
          </w:p>
        </w:tc>
      </w:tr>
    </w:tbl>
    <w:p w:rsidR="004D28BE" w:rsidP="00E350D3">
      <w:pPr>
        <w:pStyle w:val="NoPaddingFontSize1"/>
      </w:pPr>
    </w:p>
    <w:p w:rsidR="004D28BE" w:rsidP="00E350D3">
      <w:pPr>
        <w:pStyle w:val="NoPaddingFontSize1"/>
      </w:pPr>
    </w:p>
    <w:p w:rsidR="00000000" w:rsidRPr="00E350D3" w:rsidP="00E350D3">
      <w:pPr>
        <w:pStyle w:val="Heading1"/>
      </w:pPr>
      <w:bookmarkStart w:id="2" w:name="O_1196279"/>
      <w:bookmarkEnd w:id="2"/>
      <w:r w:rsidRPr="00E350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t>This unit involves the skills and knowledge required to o</w:t>
            </w:r>
            <w:r w:rsidRPr="00E350D3">
              <w:t>perate and monitor a motive power unit within defined limits in accordance with relevant workplace practices, rail regulations and codes of practice.</w:t>
            </w:r>
          </w:p>
          <w:p w:rsidR="00000000" w:rsidRPr="00E350D3" w:rsidP="00E350D3">
            <w:pPr>
              <w:pStyle w:val="BodyText"/>
            </w:pPr>
            <w:r w:rsidRPr="00E350D3">
              <w:t>It includes operating the controls of the motive power unit and monitoring its performance. It also includes working collaboratively with other train crew and relevant personnel.</w:t>
            </w:r>
          </w:p>
          <w:p w:rsidR="00000000" w:rsidRPr="00E350D3" w:rsidP="00E350D3">
            <w:pPr>
              <w:pStyle w:val="BodyText"/>
            </w:pPr>
            <w:r w:rsidRPr="00E350D3">
              <w:t>Defined limits are considered to be yards, terminals or sidings.</w:t>
            </w:r>
          </w:p>
          <w:p w:rsidR="00000000" w:rsidRPr="00E350D3" w:rsidP="00E350D3">
            <w:pPr>
              <w:pStyle w:val="BodyText"/>
            </w:pPr>
            <w:r w:rsidRPr="00E350D3">
              <w:t>This unit is</w:t>
            </w:r>
            <w:r w:rsidRPr="00E350D3">
              <w:t xml:space="preserve"> not intended to be used as a qualification for operation of a motive power unit on a main line.</w:t>
            </w:r>
          </w:p>
          <w:p w:rsidR="00000000" w:rsidRPr="00E350D3" w:rsidP="00E350D3">
            <w:pPr>
              <w:pStyle w:val="BodyText"/>
            </w:pPr>
            <w:r w:rsidRPr="00E350D3">
              <w:t>No licensing, legislative or certification requirements apply to this unit at the time of publication.</w:t>
            </w:r>
          </w:p>
        </w:tc>
      </w:tr>
    </w:tbl>
    <w:p w:rsidR="004D28BE" w:rsidP="00E350D3">
      <w:pPr>
        <w:pStyle w:val="NoPaddingFontSize1"/>
      </w:pPr>
    </w:p>
    <w:p w:rsidR="004D28BE" w:rsidP="00E350D3">
      <w:pPr>
        <w:pStyle w:val="NoPaddingFontSize1"/>
      </w:pPr>
    </w:p>
    <w:p w:rsidR="00000000" w:rsidRPr="00E350D3" w:rsidP="00E350D3">
      <w:pPr>
        <w:pStyle w:val="Heading1"/>
      </w:pPr>
      <w:bookmarkStart w:id="3" w:name="O_1196278"/>
      <w:bookmarkEnd w:id="3"/>
      <w:r w:rsidRPr="00E350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t>Not applicable.</w:t>
            </w:r>
          </w:p>
        </w:tc>
      </w:tr>
    </w:tbl>
    <w:p w:rsidR="004D28BE" w:rsidP="00E350D3">
      <w:pPr>
        <w:pStyle w:val="NoPaddingFontSize1"/>
      </w:pPr>
    </w:p>
    <w:p w:rsidR="004D28BE" w:rsidP="00E350D3">
      <w:pPr>
        <w:pStyle w:val="NoPaddingFontSize1"/>
      </w:pPr>
    </w:p>
    <w:p w:rsidR="00000000" w:rsidRPr="00E350D3" w:rsidP="00E350D3">
      <w:pPr>
        <w:pStyle w:val="Heading1"/>
      </w:pPr>
      <w:bookmarkStart w:id="4" w:name="O_1196277"/>
      <w:bookmarkEnd w:id="4"/>
      <w:r w:rsidRPr="00E350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t>C – Vehicle Operation.</w:t>
            </w:r>
          </w:p>
        </w:tc>
      </w:tr>
    </w:tbl>
    <w:p w:rsidR="004D28BE" w:rsidP="00E350D3">
      <w:pPr>
        <w:pStyle w:val="NoPaddingFontSize1"/>
      </w:pPr>
    </w:p>
    <w:p w:rsidR="004D28BE" w:rsidP="00E350D3">
      <w:pPr>
        <w:pStyle w:val="NoPaddingFontSize1"/>
      </w:pPr>
    </w:p>
    <w:p w:rsidR="00000000" w:rsidRPr="00E350D3" w:rsidP="00E350D3">
      <w:pPr>
        <w:pStyle w:val="Heading1"/>
      </w:pPr>
      <w:bookmarkStart w:id="5" w:name="O_1196276"/>
      <w:bookmarkEnd w:id="5"/>
      <w:r w:rsidRPr="00E350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t>Rail sector.</w:t>
            </w:r>
          </w:p>
        </w:tc>
      </w:tr>
    </w:tbl>
    <w:p w:rsidR="004D28BE" w:rsidP="00E350D3">
      <w:pPr>
        <w:pStyle w:val="NoPaddingFontSize1"/>
      </w:pPr>
    </w:p>
    <w:p w:rsidR="004D28BE" w:rsidP="00E350D3">
      <w:pPr>
        <w:pStyle w:val="NoPaddingFontSize1"/>
      </w:pPr>
    </w:p>
    <w:p w:rsidR="00000000" w:rsidRPr="00E350D3" w:rsidP="00E350D3">
      <w:pPr>
        <w:pStyle w:val="Heading1"/>
      </w:pPr>
      <w:bookmarkStart w:id="6" w:name="O_1196275"/>
      <w:bookmarkEnd w:id="6"/>
      <w:r w:rsidRPr="00E350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2154"/>
        <w:gridCol w:w="465"/>
        <w:gridCol w:w="6246"/>
      </w:tblGrid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PERFORMANCE CRITERIA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Performance criteria describe the performance needed to demonstrate achievement of the element.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rPr>
                <w:rStyle w:val="SpecialBold"/>
              </w:rPr>
              <w:t>Operate motive power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Motive power unit is operated at low speed within the defined limits of operation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Motive power unit handling techniques</w:t>
            </w:r>
            <w:r w:rsidRPr="00E350D3">
              <w:t xml:space="preserve"> are interpreted and applied to eliminate or minimise risk of injury to personnel or damage to equipment and/or rolling stock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Acceleration and braking techniques are applied safely to take into account track, road and weather conditions within the defined limits of operation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Motive power unit is moved in a way that ensures all rolling stock is positioned safely in accordan</w:t>
            </w:r>
            <w:r w:rsidRPr="00E350D3">
              <w:t>ce with relevant codes of practice, yard or siding operating systems and related requirements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rPr>
                <w:rStyle w:val="SpecialBold"/>
              </w:rPr>
              <w:t xml:space="preserve">Work collaboratively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Safe operation of motive power unit is maintained in collaboration with relevant workplace personnel in accordance with operational r</w:t>
            </w:r>
            <w:r w:rsidRPr="00E350D3">
              <w:t>equirements of the defined limits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Constant communication is maintained with relevant personnel when operating a motive power unit within the defined limits in accordance with organisational procedures and regulatory requirements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 xml:space="preserve">Relevant personnel are advised of any changed/degraded conditions and/or emergency situations 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Directions provided by relevant personnel to the limited operation of the motive power unit are interpreted and applied to driving activities in accorda</w:t>
            </w:r>
            <w:r w:rsidRPr="00E350D3">
              <w:t>nce with workplace procedures and applicable regulatory requirements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rPr>
                <w:rStyle w:val="SpecialBold"/>
              </w:rPr>
              <w:t>Follow all applicable rail regulatory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t>Workplace procedures to operate a motive power unit within the defined limits are used</w:t>
            </w:r>
          </w:p>
        </w:tc>
      </w:tr>
      <w:tr w:rsidTr="004D2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0D3">
            <w:pPr>
              <w:pStyle w:val="BodyText"/>
              <w:rPr>
                <w:lang w:val="en-NZ"/>
              </w:rPr>
            </w:pPr>
            <w:r w:rsidRPr="00E350D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t>Rail regulatory requirements applicable to operating a motive power unit within the defined limits of the track or road concerned are accessed, interpreted, clarified as required and applied</w:t>
            </w:r>
          </w:p>
        </w:tc>
      </w:tr>
    </w:tbl>
    <w:p w:rsidR="004D28BE" w:rsidP="00E350D3">
      <w:pPr>
        <w:pStyle w:val="NoPaddingFontSize1"/>
      </w:pPr>
    </w:p>
    <w:p w:rsidR="004D28BE" w:rsidP="00E350D3">
      <w:pPr>
        <w:pStyle w:val="NoPaddingFontSize1"/>
      </w:pPr>
    </w:p>
    <w:p w:rsidR="00000000" w:rsidRPr="00E350D3" w:rsidP="00E350D3">
      <w:pPr>
        <w:pStyle w:val="Heading1"/>
      </w:pPr>
      <w:bookmarkStart w:id="7" w:name="O_1196274"/>
      <w:bookmarkEnd w:id="7"/>
      <w:r w:rsidRPr="00E350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t>Foundation skills essential to performance are explicit in the performance criteria of this unit of competency.</w:t>
            </w:r>
          </w:p>
        </w:tc>
      </w:tr>
    </w:tbl>
    <w:p w:rsidR="004D28BE" w:rsidP="00E350D3">
      <w:pPr>
        <w:pStyle w:val="NoPaddingFontSize1"/>
      </w:pPr>
    </w:p>
    <w:p w:rsidR="004D28BE" w:rsidP="00E350D3">
      <w:pPr>
        <w:pStyle w:val="NoPaddingFontSize1"/>
      </w:pPr>
    </w:p>
    <w:p w:rsidR="00000000" w:rsidRPr="00E350D3" w:rsidP="00E350D3">
      <w:pPr>
        <w:pStyle w:val="Heading1"/>
      </w:pPr>
      <w:bookmarkStart w:id="8" w:name="O_1196273"/>
      <w:bookmarkEnd w:id="8"/>
      <w:r w:rsidRPr="00E350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t>Range is restricted to essential operating conditions and any other variables essential to the work e</w:t>
            </w:r>
            <w:r w:rsidRPr="00E350D3">
              <w:t>nvironment.</w:t>
            </w:r>
          </w:p>
        </w:tc>
      </w:tr>
    </w:tbl>
    <w:p w:rsidR="004D28BE" w:rsidP="00E350D3">
      <w:pPr>
        <w:pStyle w:val="NoPaddingFontSize1"/>
      </w:pPr>
    </w:p>
    <w:p w:rsidR="004D28BE" w:rsidP="00E350D3">
      <w:pPr>
        <w:pStyle w:val="NoPaddingFontSize1"/>
      </w:pPr>
    </w:p>
    <w:p w:rsidR="00000000" w:rsidRPr="00E350D3" w:rsidP="00E350D3">
      <w:pPr>
        <w:pStyle w:val="Heading1"/>
      </w:pPr>
      <w:bookmarkStart w:id="9" w:name="O_1196272"/>
      <w:bookmarkEnd w:id="9"/>
      <w:r w:rsidRPr="00E350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0D3" w:rsidP="00E350D3">
            <w:pPr>
              <w:pStyle w:val="BodyText"/>
            </w:pPr>
            <w:r w:rsidRPr="00E350D3">
              <w:t>This unit replaces and is equivalent to TLIC0079A Operate a motive power unit within defined limits.</w:t>
            </w:r>
          </w:p>
        </w:tc>
      </w:tr>
    </w:tbl>
    <w:p w:rsidR="004D28BE" w:rsidP="00E350D3">
      <w:pPr>
        <w:pStyle w:val="NoPaddingFontSize1"/>
      </w:pPr>
    </w:p>
    <w:p w:rsidR="004D28BE" w:rsidP="00E350D3">
      <w:pPr>
        <w:pStyle w:val="NoPaddingFontSize1"/>
      </w:pPr>
    </w:p>
    <w:p w:rsidR="00000000" w:rsidRPr="00E350D3" w:rsidP="00E350D3">
      <w:pPr>
        <w:pStyle w:val="Heading1"/>
      </w:pPr>
      <w:bookmarkStart w:id="10" w:name="O_1196281"/>
      <w:bookmarkEnd w:id="10"/>
      <w:r w:rsidRPr="00E350D3">
        <w:t>Links</w:t>
      </w:r>
    </w:p>
    <w:p w:rsidR="00000000" w:rsidRPr="00E350D3" w:rsidP="004D28BE">
      <w:pPr>
        <w:pStyle w:val="BodyText"/>
      </w:pPr>
      <w:r w:rsidRPr="00E350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948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350D3" w:rsidP="00E350D3"/>
    <w:sectPr w:rsidSect="00E350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D3" w:rsidRPr="004D28BE" w:rsidP="004D2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BE" w:rsidP="00E35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28BE" w:rsidP="00E35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28BE" w:rsidP="00E35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0D3" w:rsidRPr="004D28BE" w:rsidP="004D2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BE" w:rsidRPr="002D2AF8" w:rsidP="00E35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TLIC0079 Operate a motive power unit within defined limits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D28BE" w:rsidP="00E35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98B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243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0D3"/>
  </w:style>
  <w:style w:type="character" w:customStyle="1" w:styleId="Heading1Char">
    <w:name w:val="Heading 1 Char"/>
    <w:basedOn w:val="DefaultParagraphFont"/>
    <w:link w:val="Heading1"/>
    <w:rsid w:val="00E35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0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0D3"/>
    <w:rPr>
      <w:b/>
      <w:spacing w:val="0"/>
    </w:rPr>
  </w:style>
  <w:style w:type="paragraph" w:customStyle="1" w:styleId="SuperHeading">
    <w:name w:val="SuperHeading"/>
    <w:basedOn w:val="Normal"/>
    <w:rsid w:val="00E35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5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0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0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0D3"/>
    <w:rPr>
      <w:i/>
    </w:rPr>
  </w:style>
  <w:style w:type="paragraph" w:styleId="Caption">
    <w:name w:val="caption"/>
    <w:basedOn w:val="BodyText"/>
    <w:next w:val="Normal"/>
    <w:qFormat/>
    <w:rsid w:val="00E35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0D3"/>
  </w:style>
  <w:style w:type="paragraph" w:styleId="TableofFigures">
    <w:name w:val="table of figures"/>
    <w:basedOn w:val="Normal"/>
    <w:next w:val="Normal"/>
    <w:semiHidden/>
    <w:rsid w:val="00E35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0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50D3"/>
    <w:rPr>
      <w:rFonts w:ascii="Wingdings" w:hAnsi="Wingdings"/>
    </w:rPr>
  </w:style>
  <w:style w:type="paragraph" w:customStyle="1" w:styleId="TableHeading">
    <w:name w:val="Table Heading"/>
    <w:basedOn w:val="HeadingBase"/>
    <w:rsid w:val="00E35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0D3"/>
    <w:rPr>
      <w:color w:val="0033CC"/>
      <w:u w:val="none"/>
    </w:rPr>
  </w:style>
  <w:style w:type="paragraph" w:customStyle="1" w:styleId="BodyTextRight">
    <w:name w:val="Body Text Right"/>
    <w:basedOn w:val="BodyText"/>
    <w:rsid w:val="00E35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0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0D3"/>
    <w:rPr>
      <w:sz w:val="32"/>
    </w:rPr>
  </w:style>
  <w:style w:type="paragraph" w:customStyle="1" w:styleId="HeadingProcedure">
    <w:name w:val="Heading Procedure"/>
    <w:basedOn w:val="HeadingBase"/>
    <w:next w:val="Normal"/>
    <w:rsid w:val="00E35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0D3"/>
    <w:pPr>
      <w:spacing w:before="60" w:after="60"/>
    </w:pPr>
  </w:style>
  <w:style w:type="paragraph" w:styleId="ListContinue">
    <w:name w:val="List Continue"/>
    <w:basedOn w:val="List"/>
    <w:rsid w:val="00E350D3"/>
    <w:pPr>
      <w:ind w:firstLine="0"/>
    </w:pPr>
  </w:style>
  <w:style w:type="paragraph" w:customStyle="1" w:styleId="ListNote">
    <w:name w:val="List Note"/>
    <w:basedOn w:val="List"/>
    <w:rsid w:val="00E35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0D3"/>
    <w:rPr>
      <w:rFonts w:ascii="Courier New" w:hAnsi="Courier New"/>
    </w:rPr>
  </w:style>
  <w:style w:type="paragraph" w:customStyle="1" w:styleId="NoteBullet">
    <w:name w:val="Note Bullet"/>
    <w:basedOn w:val="Note"/>
    <w:rsid w:val="00E35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0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5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0D3"/>
    <w:rPr>
      <w:b/>
      <w:smallCaps/>
    </w:rPr>
  </w:style>
  <w:style w:type="paragraph" w:customStyle="1" w:styleId="TableListNumber">
    <w:name w:val="Table List Number"/>
    <w:basedOn w:val="ListNumber"/>
    <w:rsid w:val="00E35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0D3"/>
    <w:pPr>
      <w:numPr>
        <w:numId w:val="8"/>
      </w:numPr>
    </w:pPr>
  </w:style>
  <w:style w:type="paragraph" w:customStyle="1" w:styleId="ListAlpha2">
    <w:name w:val="List Alpha 2"/>
    <w:basedOn w:val="List2"/>
    <w:rsid w:val="00E350D3"/>
    <w:pPr>
      <w:numPr>
        <w:numId w:val="7"/>
      </w:numPr>
    </w:pPr>
  </w:style>
  <w:style w:type="paragraph" w:styleId="List2">
    <w:name w:val="List 2"/>
    <w:basedOn w:val="BodyText"/>
    <w:rsid w:val="00E35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0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0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0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50D3"/>
    <w:pPr>
      <w:numPr>
        <w:numId w:val="3"/>
      </w:numPr>
    </w:pPr>
  </w:style>
  <w:style w:type="paragraph" w:styleId="ListContinue2">
    <w:name w:val="List Continue 2"/>
    <w:basedOn w:val="List2"/>
    <w:rsid w:val="00E350D3"/>
    <w:pPr>
      <w:ind w:firstLine="0"/>
    </w:pPr>
  </w:style>
  <w:style w:type="paragraph" w:styleId="ListContinue3">
    <w:name w:val="List Continue 3"/>
    <w:basedOn w:val="List3"/>
    <w:rsid w:val="00E350D3"/>
    <w:pPr>
      <w:ind w:left="1021" w:firstLine="0"/>
    </w:pPr>
  </w:style>
  <w:style w:type="paragraph" w:styleId="ListContinue4">
    <w:name w:val="List Continue 4"/>
    <w:basedOn w:val="List4"/>
    <w:rsid w:val="00E350D3"/>
    <w:pPr>
      <w:ind w:firstLine="0"/>
    </w:pPr>
  </w:style>
  <w:style w:type="paragraph" w:styleId="ListContinue5">
    <w:name w:val="List Continue 5"/>
    <w:basedOn w:val="List5"/>
    <w:rsid w:val="00E350D3"/>
    <w:pPr>
      <w:ind w:firstLine="0"/>
    </w:pPr>
  </w:style>
  <w:style w:type="paragraph" w:styleId="ListNumber3">
    <w:name w:val="List Number 3"/>
    <w:basedOn w:val="List3"/>
    <w:rsid w:val="00E350D3"/>
    <w:pPr>
      <w:numPr>
        <w:numId w:val="4"/>
      </w:numPr>
    </w:pPr>
  </w:style>
  <w:style w:type="paragraph" w:styleId="ListNumber4">
    <w:name w:val="List Number 4"/>
    <w:basedOn w:val="List4"/>
    <w:rsid w:val="00E350D3"/>
    <w:pPr>
      <w:numPr>
        <w:numId w:val="5"/>
      </w:numPr>
    </w:pPr>
  </w:style>
  <w:style w:type="paragraph" w:styleId="ListNumber5">
    <w:name w:val="List Number 5"/>
    <w:basedOn w:val="List5"/>
    <w:rsid w:val="00E350D3"/>
    <w:pPr>
      <w:numPr>
        <w:numId w:val="6"/>
      </w:numPr>
    </w:pPr>
  </w:style>
  <w:style w:type="paragraph" w:styleId="BlockText">
    <w:name w:val="Block Text"/>
    <w:basedOn w:val="Normal"/>
    <w:rsid w:val="00E35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0D3"/>
    <w:rPr>
      <w:sz w:val="16"/>
      <w:vertAlign w:val="superscript"/>
    </w:rPr>
  </w:style>
  <w:style w:type="character" w:customStyle="1" w:styleId="Symbols">
    <w:name w:val="Symbols"/>
    <w:basedOn w:val="DefaultParagraphFont"/>
    <w:rsid w:val="00E350D3"/>
    <w:rPr>
      <w:rFonts w:ascii="Symbol" w:hAnsi="Symbol"/>
    </w:rPr>
  </w:style>
  <w:style w:type="character" w:customStyle="1" w:styleId="MenuOptions">
    <w:name w:val="Menu Options"/>
    <w:basedOn w:val="DefaultParagraphFont"/>
    <w:rsid w:val="00E35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0D3"/>
    <w:rPr>
      <w:b/>
    </w:rPr>
  </w:style>
  <w:style w:type="character" w:customStyle="1" w:styleId="Underlined">
    <w:name w:val="Underlined"/>
    <w:basedOn w:val="DefaultParagraphFont"/>
    <w:rsid w:val="00E350D3"/>
    <w:rPr>
      <w:u w:val="single"/>
    </w:rPr>
  </w:style>
  <w:style w:type="paragraph" w:customStyle="1" w:styleId="TableBodyTextRight">
    <w:name w:val="Table Body Text Right"/>
    <w:basedOn w:val="TableBodyText"/>
    <w:rsid w:val="00E35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0D3"/>
    <w:rPr>
      <w:sz w:val="18"/>
    </w:rPr>
  </w:style>
  <w:style w:type="paragraph" w:customStyle="1" w:styleId="BodySmallRight">
    <w:name w:val="Body Small Right"/>
    <w:basedOn w:val="BodyTextRight"/>
    <w:rsid w:val="00E350D3"/>
    <w:rPr>
      <w:sz w:val="18"/>
      <w:szCs w:val="18"/>
    </w:rPr>
  </w:style>
  <w:style w:type="paragraph" w:customStyle="1" w:styleId="MarginEdition">
    <w:name w:val="Margin Edition"/>
    <w:basedOn w:val="MarginNote"/>
    <w:rsid w:val="00E35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0D3"/>
    <w:rPr>
      <w:sz w:val="2"/>
      <w:szCs w:val="2"/>
    </w:rPr>
  </w:style>
  <w:style w:type="character" w:customStyle="1" w:styleId="Small">
    <w:name w:val="Small"/>
    <w:basedOn w:val="DefaultParagraphFont"/>
    <w:rsid w:val="00E350D3"/>
    <w:rPr>
      <w:sz w:val="16"/>
    </w:rPr>
  </w:style>
  <w:style w:type="paragraph" w:customStyle="1" w:styleId="WideTable">
    <w:name w:val="Wide Table"/>
    <w:basedOn w:val="Normal"/>
    <w:rsid w:val="00E35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0D3"/>
  </w:style>
  <w:style w:type="paragraph" w:styleId="Quote">
    <w:name w:val="Quote"/>
    <w:basedOn w:val="Heading1"/>
    <w:link w:val="QuoteChar"/>
    <w:qFormat/>
    <w:rsid w:val="00E35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0D3"/>
    <w:pPr>
      <w:pageBreakBefore/>
    </w:pPr>
  </w:style>
  <w:style w:type="paragraph" w:customStyle="1" w:styleId="Border">
    <w:name w:val="Border"/>
    <w:basedOn w:val="Normal"/>
    <w:qFormat/>
    <w:rsid w:val="00E35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0D3"/>
    <w:rPr>
      <w:u w:val="single"/>
    </w:rPr>
  </w:style>
  <w:style w:type="character" w:customStyle="1" w:styleId="BoldandItalics">
    <w:name w:val="Bold and Italics"/>
    <w:qFormat/>
    <w:rsid w:val="00E350D3"/>
    <w:rPr>
      <w:b/>
      <w:i/>
      <w:u w:val="none"/>
    </w:rPr>
  </w:style>
  <w:style w:type="paragraph" w:styleId="BalloonText">
    <w:name w:val="Balloon Text"/>
    <w:basedOn w:val="Normal"/>
    <w:link w:val="BalloonTextChar"/>
    <w:rsid w:val="00E35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0D3"/>
    <w:pPr>
      <w:spacing w:before="0" w:after="0"/>
    </w:pPr>
  </w:style>
  <w:style w:type="paragraph" w:customStyle="1" w:styleId="BodyTextBold">
    <w:name w:val="Body Text Bold"/>
    <w:basedOn w:val="BodyText"/>
    <w:qFormat/>
    <w:rsid w:val="00E350D3"/>
    <w:rPr>
      <w:b/>
    </w:rPr>
  </w:style>
  <w:style w:type="character" w:styleId="Hyperlink">
    <w:name w:val="Hyperlink"/>
    <w:basedOn w:val="DefaultParagraphFont"/>
    <w:uiPriority w:val="99"/>
    <w:unhideWhenUsed/>
    <w:rsid w:val="004D2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3391</Characters>
  <Application>Microsoft Office Word</Application>
  <DocSecurity>0</DocSecurity>
  <Lines>141</Lines>
  <Paragraphs>73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TLIC0079 Operate a motive power unit within defined limits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