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0C1" w:rsidP="00C12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TLIC0035 Apply low risk motorcycle riding behaviours</w:t>
      </w:r>
      <w:r>
        <w:fldChar w:fldCharType="end"/>
      </w:r>
    </w:p>
    <w:p w:rsidR="00C120C1" w:rsidP="00C120C1">
      <w:pPr>
        <w:pStyle w:val="Version"/>
        <w:sectPr w:rsidSect="00CE1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EF4" w:rsidP="00CE1EF4">
      <w:pPr>
        <w:pStyle w:val="SuperHeading"/>
      </w:pPr>
      <w:r w:rsidRPr="00CE1EF4">
        <w:t>TLIC0035 Apply low risk motorcycle riding behaviours</w:t>
      </w:r>
    </w:p>
    <w:p w:rsidR="00000000" w:rsidRPr="00CE1EF4" w:rsidP="00CE1EF4">
      <w:pPr>
        <w:pStyle w:val="Heading1"/>
      </w:pPr>
      <w:bookmarkStart w:id="1" w:name="O_1240421"/>
      <w:bookmarkEnd w:id="1"/>
      <w:r w:rsidRPr="00CE1E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Release 1.</w:t>
            </w:r>
            <w:r w:rsidRPr="00CE1EF4">
              <w:t xml:space="preserve"> This is the first release of this unit of competency in the TLI Transport and Logistics Training Package.</w:t>
            </w:r>
          </w:p>
        </w:tc>
      </w:tr>
    </w:tbl>
    <w:p w:rsidR="00000000" w:rsidRPr="00CE1EF4" w:rsidP="00CE1EF4">
      <w:pPr>
        <w:pStyle w:val="NoPaddingFontSize1"/>
      </w:pPr>
    </w:p>
    <w:p w:rsidR="00000000" w:rsidRPr="00CE1EF4" w:rsidP="00CE1EF4">
      <w:pPr>
        <w:pStyle w:val="AllowPageBreak"/>
      </w:pPr>
    </w:p>
    <w:p w:rsidR="00000000" w:rsidRPr="00CE1EF4" w:rsidP="00CE1EF4">
      <w:pPr>
        <w:pStyle w:val="Heading1"/>
      </w:pPr>
      <w:bookmarkStart w:id="2" w:name="O_1240422"/>
      <w:bookmarkEnd w:id="2"/>
      <w:r w:rsidRPr="00CE1E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t>This unit involves the skills and knowledge required to apply low r</w:t>
            </w:r>
            <w:r w:rsidRPr="00CE1EF4">
              <w:t xml:space="preserve">isk motorcycle riding behaviours. </w:t>
            </w:r>
          </w:p>
          <w:p w:rsidR="00000000" w:rsidRPr="00CE1EF4" w:rsidP="00CE1EF4">
            <w:pPr>
              <w:pStyle w:val="BodyText"/>
            </w:pPr>
            <w:r w:rsidRPr="00CE1EF4">
              <w:t>It includes applying relevant legislation applicable to low risk motorcycle riding, applying low risk motorcycle riding behaviours and applying low risk motorcycle riding strategies. It also includes explaining risk facto</w:t>
            </w:r>
            <w:r w:rsidRPr="00CE1EF4">
              <w:t>rs that contribute to collisions when riding a motorcycle, and applying operation and motorcycle control skills.</w:t>
            </w:r>
          </w:p>
          <w:p w:rsidR="00000000" w:rsidRPr="00CE1EF4" w:rsidP="00CE1EF4">
            <w:pPr>
              <w:pStyle w:val="BodyText"/>
            </w:pPr>
            <w:r w:rsidRPr="00CE1EF4">
              <w:t>This includes higher order skills involving broad cognitive, technical, communication and motorcycle management. It also requires knowledge abo</w:t>
            </w:r>
            <w:r w:rsidRPr="00CE1EF4">
              <w:t>ut hazard perception, risk control and low risk motorcycle riding behaviour, judgement, decision making and multi-tasking that builds on rider licence requirements across a range of motorcycles and riding situations.</w:t>
            </w:r>
          </w:p>
          <w:p w:rsidR="00000000" w:rsidRPr="00CE1EF4" w:rsidP="00CE1EF4">
            <w:pPr>
              <w:pStyle w:val="BodyText"/>
            </w:pPr>
            <w:r w:rsidRPr="00CE1EF4">
              <w:t xml:space="preserve">This unit applies to motorcycle riders </w:t>
            </w:r>
            <w:r w:rsidRPr="00CE1EF4">
              <w:t>required to apply low risk riding behaviours.</w:t>
            </w:r>
          </w:p>
          <w:p w:rsidR="00000000" w:rsidRPr="00CE1EF4" w:rsidP="00CE1EF4">
            <w:pPr>
              <w:pStyle w:val="BodyText"/>
            </w:pPr>
            <w:r w:rsidRPr="00CE1EF4">
              <w:t xml:space="preserve">Low risk motorcycle riding behaviours are applied without supervision. </w:t>
            </w:r>
          </w:p>
          <w:p w:rsidR="00000000" w:rsidRPr="00CE1EF4" w:rsidP="00CE1EF4">
            <w:pPr>
              <w:pStyle w:val="BodyText"/>
            </w:pPr>
            <w:r w:rsidRPr="00CE1EF4">
              <w:t>No licensing, legislative or certification requirements apply to this unit at the time of publication.</w:t>
            </w:r>
          </w:p>
        </w:tc>
      </w:tr>
    </w:tbl>
    <w:p w:rsidR="00000000" w:rsidRPr="00CE1EF4" w:rsidP="00CE1EF4">
      <w:pPr>
        <w:pStyle w:val="NoPaddingFontSize1"/>
      </w:pPr>
    </w:p>
    <w:p w:rsidR="00000000" w:rsidRPr="00CE1EF4" w:rsidP="00CE1EF4">
      <w:pPr>
        <w:pStyle w:val="AllowPageBreak"/>
      </w:pPr>
    </w:p>
    <w:p w:rsidR="00000000" w:rsidRPr="00CE1EF4" w:rsidP="00CE1EF4">
      <w:pPr>
        <w:pStyle w:val="Heading1"/>
      </w:pPr>
      <w:bookmarkStart w:id="3" w:name="O_1240423"/>
      <w:bookmarkEnd w:id="3"/>
      <w:r w:rsidRPr="00CE1EF4">
        <w:t xml:space="preserve">Pre-requisite </w:t>
      </w:r>
      <w:r w:rsidRPr="00CE1EF4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t>Not applicable.</w:t>
            </w:r>
          </w:p>
        </w:tc>
      </w:tr>
    </w:tbl>
    <w:p w:rsidR="00000000" w:rsidRPr="00CE1EF4" w:rsidP="00CE1EF4">
      <w:pPr>
        <w:pStyle w:val="NoPaddingFontSize1"/>
      </w:pPr>
    </w:p>
    <w:p w:rsidR="00000000" w:rsidRPr="00CE1EF4" w:rsidP="00CE1EF4">
      <w:pPr>
        <w:pStyle w:val="AllowPageBreak"/>
      </w:pPr>
    </w:p>
    <w:p w:rsidR="00000000" w:rsidRPr="00CE1EF4" w:rsidP="00CE1EF4">
      <w:pPr>
        <w:pStyle w:val="Heading1"/>
      </w:pPr>
      <w:bookmarkStart w:id="4" w:name="O_1240424"/>
      <w:bookmarkEnd w:id="4"/>
      <w:r w:rsidRPr="00CE1E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t>C – Vehicle Operation</w:t>
            </w:r>
          </w:p>
        </w:tc>
      </w:tr>
    </w:tbl>
    <w:p w:rsidR="00000000" w:rsidRPr="00CE1EF4" w:rsidP="00CE1EF4">
      <w:pPr>
        <w:pStyle w:val="NoPaddingFontSize1"/>
      </w:pPr>
    </w:p>
    <w:p w:rsidR="00000000" w:rsidRPr="00CE1EF4" w:rsidP="00CE1EF4">
      <w:pPr>
        <w:pStyle w:val="AllowPageBreak"/>
      </w:pPr>
    </w:p>
    <w:p w:rsidR="00000000" w:rsidRPr="00CE1EF4" w:rsidP="00CE1EF4">
      <w:pPr>
        <w:pStyle w:val="Heading1"/>
      </w:pPr>
      <w:bookmarkStart w:id="5" w:name="O_1240425"/>
      <w:bookmarkEnd w:id="5"/>
      <w:r w:rsidRPr="00CE1E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t>Not applicable.</w:t>
            </w:r>
          </w:p>
        </w:tc>
      </w:tr>
    </w:tbl>
    <w:p w:rsidR="00000000" w:rsidRPr="00CE1EF4" w:rsidP="00CE1EF4">
      <w:pPr>
        <w:pStyle w:val="NoPaddingFontSize1"/>
      </w:pPr>
    </w:p>
    <w:p w:rsidR="00000000" w:rsidRPr="00CE1EF4" w:rsidP="00CE1EF4">
      <w:pPr>
        <w:pStyle w:val="AllowPageBreak"/>
      </w:pPr>
    </w:p>
    <w:p w:rsidR="00000000" w:rsidRPr="00CE1EF4" w:rsidP="00CE1EF4">
      <w:pPr>
        <w:pStyle w:val="Heading1"/>
      </w:pPr>
      <w:bookmarkStart w:id="6" w:name="O_1240426"/>
      <w:bookmarkEnd w:id="6"/>
      <w:r w:rsidRPr="00CE1E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1"/>
        <w:gridCol w:w="2725"/>
        <w:gridCol w:w="622"/>
        <w:gridCol w:w="5830"/>
      </w:tblGrid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ELEMENTS</w:t>
            </w:r>
          </w:p>
        </w:tc>
        <w:tc>
          <w:tcPr>
            <w:tcW w:w="6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PERFORMANCE CRITERIA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 xml:space="preserve">Elements describe the </w:t>
            </w:r>
            <w:r w:rsidRPr="00CE1EF4">
              <w:t>essential outcomes.</w:t>
            </w:r>
          </w:p>
        </w:tc>
        <w:tc>
          <w:tcPr>
            <w:tcW w:w="6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 xml:space="preserve">Performance criteria describe the performance needed to </w:t>
            </w:r>
            <w:r w:rsidRPr="00CE1EF4">
              <w:t>demonstrate achievement of the element.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1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Apply relevant legislation applicable to low risk motorcycle riding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1.1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Work health and safety (WHS)/occupational health and safety (OHS) regulatory requirements are adhered to prior to riding in order to eliminate or control hazards relating to the riding environment and equipment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1.2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Current and relevant road rules and ap</w:t>
            </w:r>
            <w:r w:rsidRPr="00CE1EF4">
              <w:t>plicable state/territory law and regulations are identified, interpreted and applied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2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Apply low risk riding behaviours on a motorcycle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2.1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Requirements for low risk motorcycle riding are applied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2.2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 xml:space="preserve">Importance of attitude in complying with road rules in relation to level of risk faced by a rider is applied when riding a motorcycle 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2.3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Importance of road sharing principles is applied when riding a motorcycle, including interacting with other road u</w:t>
            </w:r>
            <w:r w:rsidRPr="00CE1EF4">
              <w:t>sers, in accordance with road rules to ensure safe and efficient traffic flow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2.4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Importance of motivation to ride in a low risk manner is interpreted and explained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2.5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Principles of low risk motorcycle riding methods are identified and applied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2.6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 xml:space="preserve">Contributing risk factors to potential collision risks, are identified and taken into consideration 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3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Apply low</w:t>
            </w:r>
            <w:r w:rsidRPr="00CE1EF4">
              <w:t xml:space="preserve"> </w:t>
            </w:r>
            <w:r w:rsidRPr="00CE1EF4">
              <w:rPr>
                <w:rStyle w:val="SpecialBold"/>
              </w:rPr>
              <w:t>risk motorcycle</w:t>
            </w:r>
            <w:r w:rsidRPr="00CE1EF4">
              <w:t xml:space="preserve"> </w:t>
            </w:r>
            <w:r w:rsidRPr="00CE1EF4">
              <w:rPr>
                <w:rStyle w:val="SpecialBold"/>
              </w:rPr>
              <w:t>riding strategies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3.1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Contributing risk factors to forming opinions and beliefs about low risk motorcycle riding, are applied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3.2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Human factors that can influence low risk motorcycle riding behaviour are outlined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3.3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 xml:space="preserve">Low risk motorcycle riding strategies are applied and their intent explained 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3.4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Features and benefits of protective clothing are explained as required and directed by state and territory legislation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4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Explain risk factors that contribute to collisions or incidents when riding a motorcycle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4.1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Contributing risk factors to collisions or incidents are recognised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4.2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External and internal risk factors that could lead to collisions or incidents are outlin</w:t>
            </w:r>
            <w:r w:rsidRPr="00CE1EF4">
              <w:t>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4.3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 xml:space="preserve">Consequences of collisions or incidents in relation to </w:t>
            </w:r>
            <w:r w:rsidRPr="00CE1EF4">
              <w:t>relevant traffic laws and physical, financial and psychological costs to the individual and society are explained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4.4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 xml:space="preserve">Functions of motorcycle operation and controls and how to recover control of a motorcycle are explained 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4.5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Corrective actions to be taken after a collision or incident, in accordance with workplace procedures and regulatory requirements are outlined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5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rPr>
                <w:rStyle w:val="SpecialBold"/>
              </w:rPr>
              <w:t>Apply operation and motorcycle control skills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5.1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Appropriate action is taken to respond to hazardous situations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5.2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Motorcycle is operated and controlled to a high level of technical competence, including braking, steering and counter-steering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5.3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t>Slow speed manoeuvres are carried out to a high level of technical competence</w:t>
            </w:r>
          </w:p>
        </w:tc>
      </w:tr>
      <w:tr w:rsidTr="00CE1E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>
            <w:pPr>
              <w:pStyle w:val="BodyText"/>
              <w:keepLines w:val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F4">
            <w:pPr>
              <w:pStyle w:val="BodyText"/>
              <w:rPr>
                <w:lang w:val="en-NZ"/>
              </w:rPr>
            </w:pPr>
            <w:r w:rsidRPr="00CE1EF4">
              <w:rPr>
                <w:rStyle w:val="SpecialBold"/>
              </w:rPr>
              <w:t>5.4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t>Principles of body weight transfer are applied to a high level of technical competence</w:t>
            </w:r>
          </w:p>
        </w:tc>
      </w:tr>
    </w:tbl>
    <w:p w:rsidR="00000000" w:rsidRPr="00CE1EF4" w:rsidP="00CE1EF4">
      <w:pPr>
        <w:pStyle w:val="NoPaddingFontSize1"/>
      </w:pPr>
    </w:p>
    <w:p w:rsidR="00000000" w:rsidRPr="00CE1EF4" w:rsidP="00CE1EF4">
      <w:pPr>
        <w:pStyle w:val="AllowPageBreak"/>
      </w:pPr>
    </w:p>
    <w:p w:rsidR="00000000" w:rsidRPr="00CE1EF4" w:rsidP="00CE1EF4">
      <w:pPr>
        <w:pStyle w:val="Heading1"/>
      </w:pPr>
      <w:bookmarkStart w:id="7" w:name="O_1240427"/>
      <w:bookmarkEnd w:id="7"/>
      <w:r w:rsidRPr="00CE1E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t>Foundation skills essential to performance are explicit in the performance criteria of this unit of competency.</w:t>
            </w:r>
          </w:p>
        </w:tc>
      </w:tr>
    </w:tbl>
    <w:p w:rsidR="00000000" w:rsidRPr="00CE1EF4" w:rsidP="00CE1EF4">
      <w:pPr>
        <w:pStyle w:val="NoPaddingFontSize1"/>
      </w:pPr>
    </w:p>
    <w:p w:rsidR="00000000" w:rsidRPr="00CE1EF4" w:rsidP="00CE1EF4">
      <w:pPr>
        <w:pStyle w:val="AllowPageBreak"/>
      </w:pPr>
    </w:p>
    <w:p w:rsidR="00000000" w:rsidRPr="00CE1EF4" w:rsidP="00CE1EF4">
      <w:pPr>
        <w:pStyle w:val="Heading1"/>
      </w:pPr>
      <w:bookmarkStart w:id="8" w:name="O_1240428"/>
      <w:bookmarkEnd w:id="8"/>
      <w:r w:rsidRPr="00CE1E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t>Range is restricted to essential operating conditions and any other variables essential to the work env</w:t>
            </w:r>
            <w:r w:rsidRPr="00CE1EF4">
              <w:t>ironment.</w:t>
            </w:r>
          </w:p>
          <w:p w:rsidR="00000000" w:rsidRPr="00CE1EF4" w:rsidP="00CE1EF4">
            <w:pPr>
              <w:pStyle w:val="BodyText"/>
            </w:pPr>
            <w:r w:rsidRPr="00CE1EF4">
              <w:t>Non-essential conditions can be found in the TLI Transport and Logistics Training Package Companion Volume Implementation Guide.</w:t>
            </w:r>
          </w:p>
        </w:tc>
      </w:tr>
    </w:tbl>
    <w:p w:rsidR="00000000" w:rsidRPr="00CE1EF4" w:rsidP="00CE1EF4">
      <w:pPr>
        <w:pStyle w:val="NoPaddingFontSize1"/>
      </w:pPr>
    </w:p>
    <w:p w:rsidR="00000000" w:rsidRPr="00CE1EF4" w:rsidP="00CE1EF4">
      <w:pPr>
        <w:pStyle w:val="AllowPageBreak"/>
      </w:pPr>
    </w:p>
    <w:p w:rsidR="00000000" w:rsidRPr="00CE1EF4" w:rsidP="00CE1EF4">
      <w:pPr>
        <w:pStyle w:val="Heading1"/>
      </w:pPr>
      <w:bookmarkStart w:id="9" w:name="O_1240429"/>
      <w:bookmarkEnd w:id="9"/>
      <w:r w:rsidRPr="00CE1E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F4" w:rsidP="00CE1EF4">
            <w:pPr>
              <w:pStyle w:val="BodyText"/>
            </w:pPr>
            <w:r w:rsidRPr="00CE1EF4">
              <w:t xml:space="preserve">This unit replaces and is equivalent to TLIC3038 Apply safe motorcycle </w:t>
            </w:r>
            <w:r w:rsidRPr="00CE1EF4">
              <w:t>riding behaviours.</w:t>
            </w:r>
          </w:p>
        </w:tc>
      </w:tr>
    </w:tbl>
    <w:p w:rsidR="00000000" w:rsidRPr="00CE1EF4" w:rsidP="00CE1EF4">
      <w:pPr>
        <w:pStyle w:val="NoPaddingFontSize1"/>
      </w:pPr>
    </w:p>
    <w:p w:rsidR="00000000" w:rsidRPr="00CE1EF4" w:rsidP="00CE1EF4">
      <w:pPr>
        <w:pStyle w:val="AllowPageBreak"/>
      </w:pPr>
    </w:p>
    <w:p w:rsidR="00000000" w:rsidRPr="00CE1EF4" w:rsidP="00CE1EF4">
      <w:pPr>
        <w:pStyle w:val="Heading1"/>
      </w:pPr>
      <w:bookmarkStart w:id="10" w:name="O_1240436"/>
      <w:bookmarkEnd w:id="10"/>
      <w:r w:rsidRPr="00CE1EF4">
        <w:t>Links</w:t>
      </w:r>
    </w:p>
    <w:p w:rsidR="00000000" w:rsidRPr="00CE1EF4" w:rsidP="00C120C1">
      <w:pPr>
        <w:pStyle w:val="BodyText"/>
      </w:pPr>
      <w:r w:rsidRPr="00CE1E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A3F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1EF4" w:rsidP="00CE1EF4"/>
    <w:sectPr w:rsidSect="00CE1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F4" w:rsidRPr="00C120C1" w:rsidP="00C12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C1" w:rsidP="00CE1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0C1" w:rsidP="00CE1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20C1" w:rsidP="00CE1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EF4" w:rsidRPr="00C120C1" w:rsidP="00C12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C1" w:rsidRPr="002D2AF8" w:rsidP="00CE1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TLIC0035 Apply low risk motorcycle riding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120C1" w:rsidP="00CE1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EF4"/>
  </w:style>
  <w:style w:type="character" w:customStyle="1" w:styleId="Heading1Char">
    <w:name w:val="Heading 1 Char"/>
    <w:basedOn w:val="DefaultParagraphFont"/>
    <w:link w:val="Heading1"/>
    <w:rsid w:val="00CE1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E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1EF4"/>
    <w:rPr>
      <w:b/>
      <w:spacing w:val="0"/>
    </w:rPr>
  </w:style>
  <w:style w:type="paragraph" w:customStyle="1" w:styleId="SuperHeading">
    <w:name w:val="SuperHeading"/>
    <w:basedOn w:val="Normal"/>
    <w:rsid w:val="00CE1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1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E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1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E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EF4"/>
    <w:rPr>
      <w:i/>
    </w:rPr>
  </w:style>
  <w:style w:type="paragraph" w:styleId="Caption">
    <w:name w:val="caption"/>
    <w:basedOn w:val="BodyText"/>
    <w:next w:val="Normal"/>
    <w:qFormat/>
    <w:rsid w:val="00CE1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EF4"/>
  </w:style>
  <w:style w:type="paragraph" w:styleId="TableofFigures">
    <w:name w:val="table of figures"/>
    <w:basedOn w:val="Normal"/>
    <w:next w:val="Normal"/>
    <w:semiHidden/>
    <w:rsid w:val="00CE1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E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1EF4"/>
    <w:rPr>
      <w:rFonts w:ascii="Wingdings" w:hAnsi="Wingdings"/>
    </w:rPr>
  </w:style>
  <w:style w:type="paragraph" w:customStyle="1" w:styleId="TableHeading">
    <w:name w:val="Table Heading"/>
    <w:basedOn w:val="HeadingBase"/>
    <w:rsid w:val="00CE1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EF4"/>
    <w:rPr>
      <w:color w:val="0033CC"/>
      <w:u w:val="none"/>
    </w:rPr>
  </w:style>
  <w:style w:type="paragraph" w:customStyle="1" w:styleId="BodyTextRight">
    <w:name w:val="Body Text Right"/>
    <w:basedOn w:val="BodyText"/>
    <w:rsid w:val="00CE1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E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EF4"/>
    <w:rPr>
      <w:sz w:val="32"/>
    </w:rPr>
  </w:style>
  <w:style w:type="paragraph" w:customStyle="1" w:styleId="HeadingProcedure">
    <w:name w:val="Heading Procedure"/>
    <w:basedOn w:val="HeadingBase"/>
    <w:next w:val="Normal"/>
    <w:rsid w:val="00CE1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EF4"/>
    <w:pPr>
      <w:spacing w:before="60" w:after="60"/>
    </w:pPr>
  </w:style>
  <w:style w:type="paragraph" w:styleId="ListContinue">
    <w:name w:val="List Continue"/>
    <w:basedOn w:val="List"/>
    <w:rsid w:val="00CE1EF4"/>
    <w:pPr>
      <w:ind w:firstLine="0"/>
    </w:pPr>
  </w:style>
  <w:style w:type="paragraph" w:customStyle="1" w:styleId="ListNote">
    <w:name w:val="List Note"/>
    <w:basedOn w:val="List"/>
    <w:rsid w:val="00CE1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EF4"/>
    <w:rPr>
      <w:rFonts w:ascii="Courier New" w:hAnsi="Courier New"/>
    </w:rPr>
  </w:style>
  <w:style w:type="paragraph" w:customStyle="1" w:styleId="NoteBullet">
    <w:name w:val="Note Bullet"/>
    <w:basedOn w:val="Note"/>
    <w:rsid w:val="00CE1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E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1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EF4"/>
    <w:rPr>
      <w:b/>
      <w:smallCaps/>
    </w:rPr>
  </w:style>
  <w:style w:type="paragraph" w:customStyle="1" w:styleId="TableListNumber">
    <w:name w:val="Table List Number"/>
    <w:basedOn w:val="ListNumber"/>
    <w:rsid w:val="00CE1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EF4"/>
    <w:pPr>
      <w:numPr>
        <w:numId w:val="7"/>
      </w:numPr>
    </w:pPr>
  </w:style>
  <w:style w:type="paragraph" w:customStyle="1" w:styleId="ListAlpha2">
    <w:name w:val="List Alpha 2"/>
    <w:basedOn w:val="List2"/>
    <w:rsid w:val="00CE1EF4"/>
    <w:pPr>
      <w:numPr>
        <w:numId w:val="6"/>
      </w:numPr>
    </w:pPr>
  </w:style>
  <w:style w:type="paragraph" w:styleId="List2">
    <w:name w:val="List 2"/>
    <w:basedOn w:val="BodyText"/>
    <w:rsid w:val="00CE1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E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E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1EF4"/>
    <w:pPr>
      <w:numPr>
        <w:numId w:val="2"/>
      </w:numPr>
    </w:pPr>
  </w:style>
  <w:style w:type="paragraph" w:styleId="ListContinue2">
    <w:name w:val="List Continue 2"/>
    <w:basedOn w:val="List2"/>
    <w:rsid w:val="00CE1EF4"/>
    <w:pPr>
      <w:ind w:firstLine="0"/>
    </w:pPr>
  </w:style>
  <w:style w:type="paragraph" w:styleId="ListContinue3">
    <w:name w:val="List Continue 3"/>
    <w:basedOn w:val="List3"/>
    <w:rsid w:val="00CE1EF4"/>
    <w:pPr>
      <w:ind w:left="1021" w:firstLine="0"/>
    </w:pPr>
  </w:style>
  <w:style w:type="paragraph" w:styleId="ListContinue4">
    <w:name w:val="List Continue 4"/>
    <w:basedOn w:val="List4"/>
    <w:rsid w:val="00CE1EF4"/>
    <w:pPr>
      <w:ind w:firstLine="0"/>
    </w:pPr>
  </w:style>
  <w:style w:type="paragraph" w:styleId="ListContinue5">
    <w:name w:val="List Continue 5"/>
    <w:basedOn w:val="List5"/>
    <w:rsid w:val="00CE1EF4"/>
    <w:pPr>
      <w:ind w:firstLine="0"/>
    </w:pPr>
  </w:style>
  <w:style w:type="paragraph" w:styleId="ListNumber3">
    <w:name w:val="List Number 3"/>
    <w:basedOn w:val="List3"/>
    <w:rsid w:val="00CE1EF4"/>
    <w:pPr>
      <w:numPr>
        <w:numId w:val="3"/>
      </w:numPr>
    </w:pPr>
  </w:style>
  <w:style w:type="paragraph" w:styleId="ListNumber4">
    <w:name w:val="List Number 4"/>
    <w:basedOn w:val="List4"/>
    <w:rsid w:val="00CE1EF4"/>
    <w:pPr>
      <w:numPr>
        <w:numId w:val="4"/>
      </w:numPr>
    </w:pPr>
  </w:style>
  <w:style w:type="paragraph" w:styleId="ListNumber5">
    <w:name w:val="List Number 5"/>
    <w:basedOn w:val="List5"/>
    <w:rsid w:val="00CE1EF4"/>
    <w:pPr>
      <w:numPr>
        <w:numId w:val="5"/>
      </w:numPr>
    </w:pPr>
  </w:style>
  <w:style w:type="paragraph" w:styleId="BlockText">
    <w:name w:val="Block Text"/>
    <w:basedOn w:val="Normal"/>
    <w:rsid w:val="00CE1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EF4"/>
    <w:rPr>
      <w:sz w:val="16"/>
      <w:vertAlign w:val="superscript"/>
    </w:rPr>
  </w:style>
  <w:style w:type="character" w:customStyle="1" w:styleId="Symbols">
    <w:name w:val="Symbols"/>
    <w:basedOn w:val="DefaultParagraphFont"/>
    <w:rsid w:val="00CE1EF4"/>
    <w:rPr>
      <w:rFonts w:ascii="Symbol" w:hAnsi="Symbol"/>
    </w:rPr>
  </w:style>
  <w:style w:type="character" w:customStyle="1" w:styleId="MenuOptions">
    <w:name w:val="Menu Options"/>
    <w:basedOn w:val="DefaultParagraphFont"/>
    <w:rsid w:val="00CE1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EF4"/>
    <w:rPr>
      <w:b/>
    </w:rPr>
  </w:style>
  <w:style w:type="character" w:customStyle="1" w:styleId="Underlined">
    <w:name w:val="Underlined"/>
    <w:basedOn w:val="DefaultParagraphFont"/>
    <w:rsid w:val="00CE1EF4"/>
    <w:rPr>
      <w:u w:val="single"/>
    </w:rPr>
  </w:style>
  <w:style w:type="paragraph" w:customStyle="1" w:styleId="TableBodyTextRight">
    <w:name w:val="Table Body Text Right"/>
    <w:basedOn w:val="TableBodyText"/>
    <w:rsid w:val="00CE1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EF4"/>
    <w:rPr>
      <w:sz w:val="18"/>
    </w:rPr>
  </w:style>
  <w:style w:type="paragraph" w:customStyle="1" w:styleId="BodySmallRight">
    <w:name w:val="Body Small Right"/>
    <w:basedOn w:val="BodyTextRight"/>
    <w:rsid w:val="00CE1EF4"/>
    <w:rPr>
      <w:sz w:val="18"/>
      <w:szCs w:val="18"/>
    </w:rPr>
  </w:style>
  <w:style w:type="paragraph" w:customStyle="1" w:styleId="MarginEdition">
    <w:name w:val="Margin Edition"/>
    <w:basedOn w:val="MarginNote"/>
    <w:rsid w:val="00CE1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EF4"/>
    <w:rPr>
      <w:sz w:val="2"/>
      <w:szCs w:val="2"/>
    </w:rPr>
  </w:style>
  <w:style w:type="character" w:customStyle="1" w:styleId="Small">
    <w:name w:val="Small"/>
    <w:basedOn w:val="DefaultParagraphFont"/>
    <w:rsid w:val="00CE1EF4"/>
    <w:rPr>
      <w:sz w:val="16"/>
    </w:rPr>
  </w:style>
  <w:style w:type="paragraph" w:customStyle="1" w:styleId="WideTable">
    <w:name w:val="Wide Table"/>
    <w:basedOn w:val="Normal"/>
    <w:rsid w:val="00CE1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EF4"/>
  </w:style>
  <w:style w:type="paragraph" w:styleId="Quote">
    <w:name w:val="Quote"/>
    <w:basedOn w:val="Heading1"/>
    <w:link w:val="QuoteChar"/>
    <w:qFormat/>
    <w:rsid w:val="00CE1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EF4"/>
    <w:pPr>
      <w:pageBreakBefore/>
    </w:pPr>
  </w:style>
  <w:style w:type="paragraph" w:customStyle="1" w:styleId="Border">
    <w:name w:val="Border"/>
    <w:basedOn w:val="Normal"/>
    <w:qFormat/>
    <w:rsid w:val="00CE1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EF4"/>
    <w:rPr>
      <w:u w:val="single"/>
    </w:rPr>
  </w:style>
  <w:style w:type="character" w:customStyle="1" w:styleId="BoldandItalics">
    <w:name w:val="Bold and Italics"/>
    <w:qFormat/>
    <w:rsid w:val="00CE1EF4"/>
    <w:rPr>
      <w:b/>
      <w:i/>
      <w:u w:val="none"/>
    </w:rPr>
  </w:style>
  <w:style w:type="paragraph" w:styleId="BalloonText">
    <w:name w:val="Balloon Text"/>
    <w:basedOn w:val="Normal"/>
    <w:link w:val="BalloonTextChar"/>
    <w:rsid w:val="00CE1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EF4"/>
    <w:pPr>
      <w:spacing w:before="0" w:after="0"/>
    </w:pPr>
  </w:style>
  <w:style w:type="paragraph" w:customStyle="1" w:styleId="BodyTextBold">
    <w:name w:val="Body Text Bold"/>
    <w:basedOn w:val="BodyText"/>
    <w:qFormat/>
    <w:rsid w:val="00CE1EF4"/>
    <w:rPr>
      <w:b/>
    </w:rPr>
  </w:style>
  <w:style w:type="character" w:styleId="Hyperlink">
    <w:name w:val="Hyperlink"/>
    <w:basedOn w:val="DefaultParagraphFont"/>
    <w:uiPriority w:val="99"/>
    <w:unhideWhenUsed/>
    <w:rsid w:val="00C120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4478</Characters>
  <Application>Microsoft Office Word</Application>
  <DocSecurity>0</DocSecurity>
  <Lines>203</Lines>
  <Paragraphs>102</Paragraphs>
  <ScaleCrop>false</ScaleCrop>
  <Company>Author-it Software Corporation Ltd.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TLIC0035 Apply low risk motorcycle riding behaviours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