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B4A" w:rsidP="00A74B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TLIC0021 Operate car carrier vehicle</w:t>
      </w:r>
      <w:r>
        <w:fldChar w:fldCharType="end"/>
      </w:r>
    </w:p>
    <w:p w:rsidR="00A74B4A" w:rsidP="00A74B4A">
      <w:pPr>
        <w:pStyle w:val="Version"/>
        <w:sectPr w:rsidSect="00DF5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B5E" w:rsidP="00DF5B5E">
      <w:pPr>
        <w:pStyle w:val="SuperHeading"/>
      </w:pPr>
      <w:r w:rsidRPr="00DF5B5E">
        <w:t>TLIC0021 Operate car carrier vehicle</w:t>
      </w:r>
    </w:p>
    <w:p w:rsidR="00000000" w:rsidRPr="00DF5B5E" w:rsidP="00DF5B5E">
      <w:pPr>
        <w:pStyle w:val="Heading1"/>
      </w:pPr>
      <w:bookmarkStart w:id="1" w:name="O_1191849"/>
      <w:bookmarkEnd w:id="1"/>
      <w:r w:rsidRPr="00DF5B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Release 1.</w:t>
            </w:r>
            <w:r w:rsidRPr="00DF5B5E">
              <w:t xml:space="preserve"> This is the first release of this unit of competency in the TLI Transport and Logistics Training Package.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2" w:name="O_1191850"/>
      <w:bookmarkEnd w:id="2"/>
      <w:r w:rsidRPr="00DF5B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This unit involves the skills and knowledge required to operate car carrier vehicle.</w:t>
            </w:r>
          </w:p>
          <w:p w:rsidR="00000000" w:rsidRPr="00DF5B5E" w:rsidP="00DF5B5E">
            <w:pPr>
              <w:pStyle w:val="BodyText"/>
            </w:pPr>
            <w:r w:rsidRPr="00DF5B5E">
              <w:t xml:space="preserve">It includes preparing for a trip, loading cars on to the vehicle, transporting and unloading cars from vehicle. </w:t>
            </w:r>
          </w:p>
          <w:p w:rsidR="00000000" w:rsidRPr="00DF5B5E" w:rsidP="00DF5B5E">
            <w:pPr>
              <w:pStyle w:val="BodyText"/>
            </w:pPr>
            <w:r w:rsidRPr="00DF5B5E">
              <w:t>Work must be carried out in accordance with relevant state/territory roads and traffic authority licence requirements and regulations for heav</w:t>
            </w:r>
            <w:r w:rsidRPr="00DF5B5E">
              <w:t>y vehicles.</w:t>
            </w:r>
          </w:p>
          <w:p w:rsidR="00000000" w:rsidRPr="00DF5B5E" w:rsidP="00DF5B5E">
            <w:pPr>
              <w:pStyle w:val="BodyText"/>
            </w:pPr>
            <w:r w:rsidRPr="00DF5B5E">
              <w:t>Work is performed with limited or minimum supervision, and with duty of care responsibility for self and others in achieving the prescribed outcomes.</w:t>
            </w:r>
          </w:p>
          <w:p w:rsidR="00000000" w:rsidRPr="00DF5B5E" w:rsidP="00DF5B5E">
            <w:pPr>
              <w:pStyle w:val="BodyText"/>
            </w:pPr>
            <w:r w:rsidRPr="00DF5B5E">
              <w:t>No licensing, legislative or certification requirements apply to this unit at the time of publ</w:t>
            </w:r>
            <w:r w:rsidRPr="00DF5B5E">
              <w:t>ication.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3" w:name="O_1191851"/>
      <w:bookmarkEnd w:id="3"/>
      <w:r w:rsidRPr="00DF5B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Not applicable.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4" w:name="O_1191852"/>
      <w:bookmarkEnd w:id="4"/>
      <w:r w:rsidRPr="00DF5B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C – Vehicle Operation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5" w:name="O_1191853"/>
      <w:bookmarkEnd w:id="5"/>
      <w:r w:rsidRPr="00DF5B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Not applicable.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6" w:name="O_1191854"/>
      <w:bookmarkEnd w:id="6"/>
      <w:r w:rsidRPr="00DF5B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"/>
        <w:gridCol w:w="2429"/>
        <w:gridCol w:w="1"/>
        <w:gridCol w:w="516"/>
        <w:gridCol w:w="5891"/>
      </w:tblGrid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PERFORMANCE CRITERIA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Performance criteria describe the performance needed to demonstrate achievement of the element.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Prepare for trip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Job hazards are identified and required action is taken to minimise, control or eliminate identified hazards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Inventory of equipment is completed in accordance with organisational requirements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Inspection documentation for vehicles to be loaded is completed in accordance with workplace and customer requirements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Delivery instructions, including verbal instructions for pick-up points and destinations, are checked to ensure they are consisten</w:t>
            </w:r>
            <w:r w:rsidRPr="00DF5B5E">
              <w:t>t with manifest and inconsistencies are remedied in accordance with workplace requirements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Suitable route is selected to ensure most efficient, safe and secure route for load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Load car carrier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Loading is planned in accordance with deli</w:t>
            </w:r>
            <w:r w:rsidRPr="00DF5B5E">
              <w:t>very schedule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Vehicles are parked in gear and brakes are applied and wheels are chocked, where necessary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Loading is undertaken with due care to avoid damage to the vehicles being loaded and are loaded in the correct order in accordance with delivery schedule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 xml:space="preserve">Vehicles are loaded onto car carrier vehicle in accordance with regulatory requirements, and workplace safety and workplace procedures 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Adjustments are made, as required, when loading non-standard vehicles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Load is secured with correct tie down methods for transporting vehicles in accordance with workplace requirements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Checks are made to ensure loaded car carrier complies with legal requirements for height, weight, width and axle loading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Ancilla</w:t>
            </w:r>
            <w:r w:rsidRPr="00DF5B5E">
              <w:t>ry equipment attached to car carrier is operated in accordance with manufacturer operating instructions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Transport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Driving techniques are used, when operating car carrier, to minimise risk of damage to loaded vehicles in accordance with eco-driving considerations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Load is conveyed to meet customer requirements for delivery times and road traffic laws are complied</w:t>
            </w:r>
            <w:r w:rsidRPr="00DF5B5E">
              <w:t xml:space="preserve"> with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Loaded vehicle car keys are secured in accordance with workplace requirements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rPr>
                <w:rStyle w:val="SpecialBold"/>
              </w:rPr>
              <w:t>Unload car carrier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Identity of persons taking delivery of vehicles is confirmed in accordance with delivery instructions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Vehicle unloading procedures are followed in accordance with workplace and customer requirements for safety, and in a manner that minimises inconvenience to other road users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t>Unloaded vehicles are inspected and the condition is documented and accepte</w:t>
            </w:r>
            <w:r w:rsidRPr="00DF5B5E">
              <w:t xml:space="preserve">d by the customer </w:t>
            </w:r>
          </w:p>
        </w:tc>
      </w:tr>
      <w:tr w:rsidTr="00A74B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5E">
            <w:pPr>
              <w:pStyle w:val="BodyText"/>
              <w:rPr>
                <w:lang w:val="en-NZ"/>
              </w:rPr>
            </w:pPr>
            <w:r w:rsidRPr="00DF5B5E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Variances from initial vehicle condition are documented and reported in accordance with workplace procedures and customer requirements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7" w:name="O_1191855"/>
      <w:bookmarkEnd w:id="7"/>
      <w:r w:rsidRPr="00DF5B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Foundation skills essential to performance are explicit in the performance criteria of this unit of competency.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8" w:name="O_1191856"/>
      <w:bookmarkEnd w:id="8"/>
      <w:r w:rsidRPr="00DF5B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Range is restricted to essential operating conditions and any other variables essential to the work en</w:t>
            </w:r>
            <w:r w:rsidRPr="00DF5B5E">
              <w:t>vironment.</w:t>
            </w:r>
          </w:p>
          <w:p w:rsidR="00000000" w:rsidRPr="00DF5B5E" w:rsidP="00DF5B5E">
            <w:pPr>
              <w:pStyle w:val="BodyText"/>
            </w:pPr>
            <w:r w:rsidRPr="00DF5B5E">
              <w:t>Non-essential conditions can be found in the TLI Transport and Logistics Training Package Companion Volume Implementation Guide.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9" w:name="O_1191857"/>
      <w:bookmarkEnd w:id="9"/>
      <w:r w:rsidRPr="00DF5B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5E" w:rsidP="00DF5B5E">
            <w:pPr>
              <w:pStyle w:val="BodyText"/>
            </w:pPr>
            <w:r w:rsidRPr="00DF5B5E">
              <w:t>This unit replaces and is equivalent to TLIC3064 Operate car carrier vehicle.</w:t>
            </w:r>
          </w:p>
        </w:tc>
      </w:tr>
    </w:tbl>
    <w:p w:rsidR="00A74B4A" w:rsidP="00DF5B5E">
      <w:pPr>
        <w:pStyle w:val="NoPaddingFontSize1"/>
      </w:pPr>
    </w:p>
    <w:p w:rsidR="00A74B4A" w:rsidP="00DF5B5E">
      <w:pPr>
        <w:pStyle w:val="NoPaddingFontSize1"/>
      </w:pPr>
    </w:p>
    <w:p w:rsidR="00000000" w:rsidRPr="00DF5B5E" w:rsidP="00DF5B5E">
      <w:pPr>
        <w:pStyle w:val="Heading1"/>
      </w:pPr>
      <w:bookmarkStart w:id="10" w:name="O_1191864"/>
      <w:bookmarkEnd w:id="10"/>
      <w:r w:rsidRPr="00DF5B5E">
        <w:t>Links</w:t>
      </w:r>
    </w:p>
    <w:p w:rsidR="00000000" w:rsidRPr="00DF5B5E" w:rsidP="00A74B4A">
      <w:pPr>
        <w:pStyle w:val="BodyText"/>
      </w:pPr>
      <w:r w:rsidRPr="00DF5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3D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5B5E" w:rsidP="00DF5B5E"/>
    <w:sectPr w:rsidSect="00DF5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5E" w:rsidRPr="00A74B4A" w:rsidP="00A74B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4A" w:rsidP="00DF5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B4A" w:rsidP="00DF5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74B4A" w:rsidP="00DF5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B5E" w:rsidRPr="00A74B4A" w:rsidP="00A74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4A" w:rsidRPr="002D2AF8" w:rsidP="00DF5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TLIC0021 Operate car carrier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74B4A" w:rsidP="00DF5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B5E"/>
  </w:style>
  <w:style w:type="character" w:customStyle="1" w:styleId="Heading1Char">
    <w:name w:val="Heading 1 Char"/>
    <w:basedOn w:val="DefaultParagraphFont"/>
    <w:link w:val="Heading1"/>
    <w:rsid w:val="00DF5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B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5B5E"/>
    <w:rPr>
      <w:b/>
      <w:spacing w:val="0"/>
    </w:rPr>
  </w:style>
  <w:style w:type="paragraph" w:customStyle="1" w:styleId="SuperHeading">
    <w:name w:val="SuperHeading"/>
    <w:basedOn w:val="Normal"/>
    <w:rsid w:val="00DF5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5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B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B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5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B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B5E"/>
    <w:rPr>
      <w:i/>
    </w:rPr>
  </w:style>
  <w:style w:type="paragraph" w:styleId="Caption">
    <w:name w:val="caption"/>
    <w:basedOn w:val="BodyText"/>
    <w:next w:val="Normal"/>
    <w:qFormat/>
    <w:rsid w:val="00DF5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B5E"/>
  </w:style>
  <w:style w:type="paragraph" w:styleId="TableofFigures">
    <w:name w:val="table of figures"/>
    <w:basedOn w:val="Normal"/>
    <w:next w:val="Normal"/>
    <w:semiHidden/>
    <w:rsid w:val="00DF5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B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5B5E"/>
    <w:rPr>
      <w:rFonts w:ascii="Wingdings" w:hAnsi="Wingdings"/>
    </w:rPr>
  </w:style>
  <w:style w:type="paragraph" w:customStyle="1" w:styleId="TableHeading">
    <w:name w:val="Table Heading"/>
    <w:basedOn w:val="HeadingBase"/>
    <w:rsid w:val="00DF5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B5E"/>
    <w:rPr>
      <w:color w:val="0033CC"/>
      <w:u w:val="none"/>
    </w:rPr>
  </w:style>
  <w:style w:type="paragraph" w:customStyle="1" w:styleId="BodyTextRight">
    <w:name w:val="Body Text Right"/>
    <w:basedOn w:val="BodyText"/>
    <w:rsid w:val="00DF5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B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B5E"/>
    <w:rPr>
      <w:sz w:val="32"/>
    </w:rPr>
  </w:style>
  <w:style w:type="paragraph" w:customStyle="1" w:styleId="HeadingProcedure">
    <w:name w:val="Heading Procedure"/>
    <w:basedOn w:val="HeadingBase"/>
    <w:next w:val="Normal"/>
    <w:rsid w:val="00DF5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B5E"/>
    <w:pPr>
      <w:spacing w:before="60" w:after="60"/>
    </w:pPr>
  </w:style>
  <w:style w:type="paragraph" w:styleId="ListContinue">
    <w:name w:val="List Continue"/>
    <w:basedOn w:val="List"/>
    <w:rsid w:val="00DF5B5E"/>
    <w:pPr>
      <w:ind w:firstLine="0"/>
    </w:pPr>
  </w:style>
  <w:style w:type="paragraph" w:customStyle="1" w:styleId="ListNote">
    <w:name w:val="List Note"/>
    <w:basedOn w:val="List"/>
    <w:rsid w:val="00DF5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B5E"/>
    <w:rPr>
      <w:rFonts w:ascii="Courier New" w:hAnsi="Courier New"/>
    </w:rPr>
  </w:style>
  <w:style w:type="paragraph" w:customStyle="1" w:styleId="NoteBullet">
    <w:name w:val="Note Bullet"/>
    <w:basedOn w:val="Note"/>
    <w:rsid w:val="00DF5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B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5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B5E"/>
    <w:rPr>
      <w:b/>
      <w:smallCaps/>
    </w:rPr>
  </w:style>
  <w:style w:type="paragraph" w:customStyle="1" w:styleId="TableListNumber">
    <w:name w:val="Table List Number"/>
    <w:basedOn w:val="ListNumber"/>
    <w:rsid w:val="00DF5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B5E"/>
    <w:pPr>
      <w:numPr>
        <w:numId w:val="7"/>
      </w:numPr>
    </w:pPr>
  </w:style>
  <w:style w:type="paragraph" w:customStyle="1" w:styleId="ListAlpha2">
    <w:name w:val="List Alpha 2"/>
    <w:basedOn w:val="List2"/>
    <w:rsid w:val="00DF5B5E"/>
    <w:pPr>
      <w:numPr>
        <w:numId w:val="6"/>
      </w:numPr>
    </w:pPr>
  </w:style>
  <w:style w:type="paragraph" w:styleId="List2">
    <w:name w:val="List 2"/>
    <w:basedOn w:val="BodyText"/>
    <w:rsid w:val="00DF5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B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B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5B5E"/>
    <w:pPr>
      <w:numPr>
        <w:numId w:val="2"/>
      </w:numPr>
    </w:pPr>
  </w:style>
  <w:style w:type="paragraph" w:styleId="ListContinue2">
    <w:name w:val="List Continue 2"/>
    <w:basedOn w:val="List2"/>
    <w:rsid w:val="00DF5B5E"/>
    <w:pPr>
      <w:ind w:firstLine="0"/>
    </w:pPr>
  </w:style>
  <w:style w:type="paragraph" w:styleId="ListContinue3">
    <w:name w:val="List Continue 3"/>
    <w:basedOn w:val="List3"/>
    <w:rsid w:val="00DF5B5E"/>
    <w:pPr>
      <w:ind w:left="1021" w:firstLine="0"/>
    </w:pPr>
  </w:style>
  <w:style w:type="paragraph" w:styleId="ListContinue4">
    <w:name w:val="List Continue 4"/>
    <w:basedOn w:val="List4"/>
    <w:rsid w:val="00DF5B5E"/>
    <w:pPr>
      <w:ind w:firstLine="0"/>
    </w:pPr>
  </w:style>
  <w:style w:type="paragraph" w:styleId="ListContinue5">
    <w:name w:val="List Continue 5"/>
    <w:basedOn w:val="List5"/>
    <w:rsid w:val="00DF5B5E"/>
    <w:pPr>
      <w:ind w:firstLine="0"/>
    </w:pPr>
  </w:style>
  <w:style w:type="paragraph" w:styleId="ListNumber3">
    <w:name w:val="List Number 3"/>
    <w:basedOn w:val="List3"/>
    <w:rsid w:val="00DF5B5E"/>
    <w:pPr>
      <w:numPr>
        <w:numId w:val="3"/>
      </w:numPr>
    </w:pPr>
  </w:style>
  <w:style w:type="paragraph" w:styleId="ListNumber4">
    <w:name w:val="List Number 4"/>
    <w:basedOn w:val="List4"/>
    <w:rsid w:val="00DF5B5E"/>
    <w:pPr>
      <w:numPr>
        <w:numId w:val="4"/>
      </w:numPr>
    </w:pPr>
  </w:style>
  <w:style w:type="paragraph" w:styleId="ListNumber5">
    <w:name w:val="List Number 5"/>
    <w:basedOn w:val="List5"/>
    <w:rsid w:val="00DF5B5E"/>
    <w:pPr>
      <w:numPr>
        <w:numId w:val="5"/>
      </w:numPr>
    </w:pPr>
  </w:style>
  <w:style w:type="paragraph" w:styleId="BlockText">
    <w:name w:val="Block Text"/>
    <w:basedOn w:val="Normal"/>
    <w:rsid w:val="00DF5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B5E"/>
    <w:rPr>
      <w:sz w:val="16"/>
      <w:vertAlign w:val="superscript"/>
    </w:rPr>
  </w:style>
  <w:style w:type="character" w:customStyle="1" w:styleId="Symbols">
    <w:name w:val="Symbols"/>
    <w:basedOn w:val="DefaultParagraphFont"/>
    <w:rsid w:val="00DF5B5E"/>
    <w:rPr>
      <w:rFonts w:ascii="Symbol" w:hAnsi="Symbol"/>
    </w:rPr>
  </w:style>
  <w:style w:type="character" w:customStyle="1" w:styleId="MenuOptions">
    <w:name w:val="Menu Options"/>
    <w:basedOn w:val="DefaultParagraphFont"/>
    <w:rsid w:val="00DF5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B5E"/>
    <w:rPr>
      <w:b/>
    </w:rPr>
  </w:style>
  <w:style w:type="character" w:customStyle="1" w:styleId="Underlined">
    <w:name w:val="Underlined"/>
    <w:basedOn w:val="DefaultParagraphFont"/>
    <w:rsid w:val="00DF5B5E"/>
    <w:rPr>
      <w:u w:val="single"/>
    </w:rPr>
  </w:style>
  <w:style w:type="paragraph" w:customStyle="1" w:styleId="TableBodyTextRight">
    <w:name w:val="Table Body Text Right"/>
    <w:basedOn w:val="TableBodyText"/>
    <w:rsid w:val="00DF5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B5E"/>
    <w:rPr>
      <w:sz w:val="18"/>
    </w:rPr>
  </w:style>
  <w:style w:type="paragraph" w:customStyle="1" w:styleId="BodySmallRight">
    <w:name w:val="Body Small Right"/>
    <w:basedOn w:val="BodyTextRight"/>
    <w:rsid w:val="00DF5B5E"/>
    <w:rPr>
      <w:sz w:val="18"/>
      <w:szCs w:val="18"/>
    </w:rPr>
  </w:style>
  <w:style w:type="paragraph" w:customStyle="1" w:styleId="MarginEdition">
    <w:name w:val="Margin Edition"/>
    <w:basedOn w:val="MarginNote"/>
    <w:rsid w:val="00DF5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B5E"/>
    <w:rPr>
      <w:sz w:val="2"/>
      <w:szCs w:val="2"/>
    </w:rPr>
  </w:style>
  <w:style w:type="character" w:customStyle="1" w:styleId="Small">
    <w:name w:val="Small"/>
    <w:basedOn w:val="DefaultParagraphFont"/>
    <w:rsid w:val="00DF5B5E"/>
    <w:rPr>
      <w:sz w:val="16"/>
    </w:rPr>
  </w:style>
  <w:style w:type="paragraph" w:customStyle="1" w:styleId="WideTable">
    <w:name w:val="Wide Table"/>
    <w:basedOn w:val="Normal"/>
    <w:rsid w:val="00DF5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B5E"/>
  </w:style>
  <w:style w:type="paragraph" w:styleId="Quote">
    <w:name w:val="Quote"/>
    <w:basedOn w:val="Heading1"/>
    <w:link w:val="QuoteChar"/>
    <w:qFormat/>
    <w:rsid w:val="00DF5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B5E"/>
    <w:pPr>
      <w:pageBreakBefore/>
    </w:pPr>
  </w:style>
  <w:style w:type="paragraph" w:customStyle="1" w:styleId="Border">
    <w:name w:val="Border"/>
    <w:basedOn w:val="Normal"/>
    <w:qFormat/>
    <w:rsid w:val="00DF5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B5E"/>
    <w:rPr>
      <w:u w:val="single"/>
    </w:rPr>
  </w:style>
  <w:style w:type="character" w:customStyle="1" w:styleId="BoldandItalics">
    <w:name w:val="Bold and Italics"/>
    <w:qFormat/>
    <w:rsid w:val="00DF5B5E"/>
    <w:rPr>
      <w:b/>
      <w:i/>
      <w:u w:val="none"/>
    </w:rPr>
  </w:style>
  <w:style w:type="paragraph" w:styleId="BalloonText">
    <w:name w:val="Balloon Text"/>
    <w:basedOn w:val="Normal"/>
    <w:link w:val="BalloonTextChar"/>
    <w:rsid w:val="00DF5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B5E"/>
    <w:pPr>
      <w:spacing w:before="0" w:after="0"/>
    </w:pPr>
  </w:style>
  <w:style w:type="paragraph" w:customStyle="1" w:styleId="BodyTextBold">
    <w:name w:val="Body Text Bold"/>
    <w:basedOn w:val="BodyText"/>
    <w:qFormat/>
    <w:rsid w:val="00DF5B5E"/>
    <w:rPr>
      <w:b/>
    </w:rPr>
  </w:style>
  <w:style w:type="character" w:styleId="Hyperlink">
    <w:name w:val="Hyperlink"/>
    <w:basedOn w:val="DefaultParagraphFont"/>
    <w:uiPriority w:val="99"/>
    <w:unhideWhenUsed/>
    <w:rsid w:val="00A74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3877</Characters>
  <Application>Microsoft Office Word</Application>
  <DocSecurity>0</DocSecurity>
  <Lines>184</Lines>
  <Paragraphs>96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TLIC0021 Operate car carrier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