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42AF" w:rsidP="00DA42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TLIC0016 Identify and respond to signals and trackside signs</w:t>
      </w:r>
      <w:r>
        <w:fldChar w:fldCharType="end"/>
      </w:r>
    </w:p>
    <w:p w:rsidR="00DA42AF" w:rsidP="00DA42AF">
      <w:pPr>
        <w:pStyle w:val="Version"/>
        <w:sectPr w:rsidSect="00291A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1A65" w:rsidP="00291A65">
      <w:pPr>
        <w:pStyle w:val="SuperHeading"/>
      </w:pPr>
      <w:r w:rsidRPr="00291A65">
        <w:t>Assessment Requirements for TLIC0016 Identify and respond to signals and trackside signs</w:t>
      </w:r>
    </w:p>
    <w:p w:rsidR="00000000" w:rsidRPr="00291A65" w:rsidP="00291A65">
      <w:pPr>
        <w:pStyle w:val="Heading1"/>
      </w:pPr>
      <w:bookmarkStart w:id="1" w:name="O_1191764"/>
      <w:bookmarkEnd w:id="1"/>
      <w:r w:rsidRPr="00291A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A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A65" w:rsidP="00291A65">
            <w:pPr>
              <w:pStyle w:val="BodyText"/>
            </w:pPr>
            <w:r w:rsidRPr="00291A65">
              <w:rPr>
                <w:rStyle w:val="SpecialBold"/>
              </w:rPr>
              <w:t>Release 1</w:t>
            </w:r>
            <w:r w:rsidRPr="00291A65">
              <w:t>. This is the first release of this unit of competency in the TLI Transport and Logistics Training Package.</w:t>
            </w:r>
          </w:p>
        </w:tc>
      </w:tr>
    </w:tbl>
    <w:p w:rsidR="00DA42AF" w:rsidP="00291A65">
      <w:pPr>
        <w:pStyle w:val="NoPaddingFontSize1"/>
      </w:pPr>
    </w:p>
    <w:p w:rsidR="00DA42AF" w:rsidP="00291A65">
      <w:pPr>
        <w:pStyle w:val="NoPaddingFontSize1"/>
      </w:pPr>
    </w:p>
    <w:p w:rsidR="00000000" w:rsidRPr="00291A65" w:rsidP="00291A65">
      <w:pPr>
        <w:pStyle w:val="Heading1"/>
      </w:pPr>
      <w:bookmarkStart w:id="2" w:name="O_1191765"/>
      <w:bookmarkEnd w:id="2"/>
      <w:r w:rsidRPr="00291A6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A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A65">
            <w:pPr>
              <w:pStyle w:val="BodyText"/>
              <w:rPr>
                <w:lang w:val="en-NZ"/>
              </w:rPr>
            </w:pPr>
            <w:r w:rsidRPr="00291A65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291A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A65" w:rsidP="00291A65">
            <w:pPr>
              <w:pStyle w:val="ListBullet"/>
            </w:pPr>
            <w:r w:rsidRPr="00291A65">
              <w:t xml:space="preserve">communicating effectively </w:t>
            </w:r>
            <w:r w:rsidRPr="00291A65">
              <w:t>with others</w:t>
            </w:r>
          </w:p>
          <w:p w:rsidR="00000000" w:rsidRPr="00291A65" w:rsidP="00291A65">
            <w:pPr>
              <w:pStyle w:val="ListBullet"/>
            </w:pPr>
            <w:r w:rsidRPr="00291A65">
              <w:t>completing required documentation</w:t>
            </w:r>
          </w:p>
          <w:p w:rsidR="00000000" w:rsidRPr="00291A65" w:rsidP="00291A65">
            <w:pPr>
              <w:pStyle w:val="ListBullet"/>
            </w:pPr>
            <w:r w:rsidRPr="00291A65">
              <w:t xml:space="preserve">identifying job hazards and taking required actions to minimise, control or eliminate identified hazards </w:t>
            </w:r>
          </w:p>
          <w:p w:rsidR="00000000" w:rsidRPr="00291A65" w:rsidP="00291A65">
            <w:pPr>
              <w:pStyle w:val="ListBullet"/>
            </w:pPr>
            <w:r w:rsidRPr="00291A65">
              <w:t>interpreting and following operational instructions and prioritising work</w:t>
            </w:r>
          </w:p>
          <w:p w:rsidR="00000000" w:rsidRPr="00291A65" w:rsidP="00291A65">
            <w:pPr>
              <w:pStyle w:val="ListBullet"/>
            </w:pPr>
            <w:r w:rsidRPr="00291A65">
              <w:t>modifying activities depending on operational contingencies, risk situations and environments</w:t>
            </w:r>
          </w:p>
          <w:p w:rsidR="00000000" w:rsidRPr="00291A65" w:rsidP="00291A65">
            <w:pPr>
              <w:pStyle w:val="ListBullet"/>
            </w:pPr>
            <w:r w:rsidRPr="00291A65">
              <w:t>operating and adapting to differences in equipment in accordance with operating procedures</w:t>
            </w:r>
          </w:p>
          <w:p w:rsidR="00000000" w:rsidRPr="00291A65" w:rsidP="00291A65">
            <w:pPr>
              <w:pStyle w:val="ListBullet"/>
            </w:pPr>
            <w:r w:rsidRPr="00291A65">
              <w:t>reading and interpreting relevant instructions, workplace procedures an</w:t>
            </w:r>
            <w:r w:rsidRPr="00291A65">
              <w:t xml:space="preserve">d information including numerical information </w:t>
            </w:r>
          </w:p>
          <w:p w:rsidR="00000000" w:rsidRPr="00291A65" w:rsidP="00291A65">
            <w:pPr>
              <w:pStyle w:val="ListBullet"/>
            </w:pPr>
            <w:r w:rsidRPr="00291A65">
              <w:t>responding to different indications and aspects displayed by signalling systems within the rail networks</w:t>
            </w:r>
          </w:p>
          <w:p w:rsidR="00000000" w:rsidRPr="00291A65" w:rsidP="00291A65">
            <w:pPr>
              <w:pStyle w:val="ListBullet"/>
            </w:pPr>
            <w:r w:rsidRPr="00291A65">
              <w:t>responding to different trackside signs within rail networks</w:t>
            </w:r>
          </w:p>
          <w:p w:rsidR="00000000" w:rsidRPr="00291A65" w:rsidP="00291A65">
            <w:pPr>
              <w:pStyle w:val="ListBullet"/>
            </w:pPr>
            <w:r w:rsidRPr="00291A65">
              <w:t>working systematically with required attent</w:t>
            </w:r>
            <w:r w:rsidRPr="00291A65">
              <w:t>ion to detail without injury to self or others, or damage to goods or equipment.</w:t>
            </w:r>
          </w:p>
        </w:tc>
      </w:tr>
    </w:tbl>
    <w:p w:rsidR="00000000" w:rsidRPr="00291A65" w:rsidP="00291A65">
      <w:pPr>
        <w:pStyle w:val="NoPaddingFontSize1"/>
      </w:pPr>
    </w:p>
    <w:p w:rsidR="00000000" w:rsidRPr="00291A65" w:rsidP="00291A65">
      <w:pPr>
        <w:pStyle w:val="AllowPageBreak"/>
      </w:pPr>
    </w:p>
    <w:p w:rsidR="00000000" w:rsidRPr="00291A65" w:rsidP="00291A65">
      <w:pPr>
        <w:pStyle w:val="Heading1"/>
      </w:pPr>
      <w:bookmarkStart w:id="3" w:name="O_1191766"/>
      <w:bookmarkEnd w:id="3"/>
      <w:r w:rsidRPr="00291A6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A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A65">
            <w:pPr>
              <w:pStyle w:val="BodyText"/>
              <w:rPr>
                <w:lang w:val="en-NZ"/>
              </w:rPr>
            </w:pPr>
            <w:r w:rsidRPr="00291A65">
              <w:t>Evidence required to demonstrate competence in this unit must be relevant to and satisfy all of the requirements of the elements and pe</w:t>
            </w:r>
            <w:r w:rsidRPr="00291A65">
              <w:t>rformance criteria and include knowledge of:</w:t>
            </w:r>
          </w:p>
        </w:tc>
      </w:tr>
      <w:tr w:rsidTr="00291A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A65" w:rsidP="00291A65">
            <w:pPr>
              <w:pStyle w:val="ListBullet"/>
            </w:pPr>
            <w:r w:rsidRPr="00291A65">
              <w:t>relevant rail safety, work health and safety (WHS)/occupational health and safety (OHS) and environmental procedures and regulations including emergency response workplace procedures</w:t>
            </w:r>
          </w:p>
          <w:p w:rsidR="00000000" w:rsidRPr="00291A65" w:rsidP="00291A65">
            <w:pPr>
              <w:pStyle w:val="ListBullet"/>
            </w:pPr>
            <w:r w:rsidRPr="00291A65">
              <w:t>relevant sections of applicable state/territory legislated rail safety requirements, relevant system of safeworking, codes of practice and/or guidelines</w:t>
            </w:r>
          </w:p>
          <w:p w:rsidR="00000000" w:rsidRPr="00291A65" w:rsidP="00291A65">
            <w:pPr>
              <w:pStyle w:val="ListBullet"/>
            </w:pPr>
            <w:r w:rsidRPr="00291A65">
              <w:t xml:space="preserve">signalling system for rail network including fixed signals, Automatic Train Protection/Control (ATP/C) </w:t>
            </w:r>
            <w:r w:rsidRPr="00291A65">
              <w:t>and Positive Train Control (PTC) systems as appropriate</w:t>
            </w:r>
          </w:p>
          <w:p w:rsidR="00000000" w:rsidRPr="00291A65" w:rsidP="00291A65">
            <w:pPr>
              <w:pStyle w:val="ListBullet"/>
            </w:pPr>
            <w:r w:rsidRPr="00291A65">
              <w:t>types of fixed or electronically displayed signals used within the rail network</w:t>
            </w:r>
          </w:p>
          <w:p w:rsidR="00000000" w:rsidRPr="00291A65" w:rsidP="00291A65">
            <w:pPr>
              <w:pStyle w:val="ListBullet"/>
            </w:pPr>
            <w:r w:rsidRPr="00291A65">
              <w:t>types of trackside signs used within the rail network</w:t>
            </w:r>
          </w:p>
          <w:p w:rsidR="00000000" w:rsidRPr="00291A65" w:rsidP="00291A65">
            <w:pPr>
              <w:pStyle w:val="ListBullet"/>
            </w:pPr>
            <w:r w:rsidRPr="00291A65">
              <w:t>use of communications and other signalling/operational control equ</w:t>
            </w:r>
            <w:r w:rsidRPr="00291A65">
              <w:t>ipment and/or systems</w:t>
            </w:r>
          </w:p>
          <w:p w:rsidR="00000000" w:rsidRPr="00291A65" w:rsidP="00291A65">
            <w:pPr>
              <w:pStyle w:val="ListBullet"/>
            </w:pPr>
            <w:r w:rsidRPr="00291A65">
              <w:t>workplace procedure for responding to illegal or irregular indications displayed by running signals or shunting signals.</w:t>
            </w:r>
          </w:p>
        </w:tc>
      </w:tr>
    </w:tbl>
    <w:p w:rsidR="00000000" w:rsidRPr="00291A65" w:rsidP="00291A65">
      <w:pPr>
        <w:pStyle w:val="NoPaddingFontSize1"/>
      </w:pPr>
    </w:p>
    <w:p w:rsidR="00000000" w:rsidRPr="00291A65" w:rsidP="00291A65">
      <w:pPr>
        <w:pStyle w:val="AllowPageBreak"/>
      </w:pPr>
    </w:p>
    <w:p w:rsidR="00000000" w:rsidRPr="00291A65" w:rsidP="00291A65">
      <w:pPr>
        <w:pStyle w:val="Heading1"/>
      </w:pPr>
      <w:bookmarkStart w:id="4" w:name="O_1191767"/>
      <w:bookmarkEnd w:id="4"/>
      <w:r w:rsidRPr="00291A6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1A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A65" w:rsidP="00291A65">
            <w:pPr>
              <w:pStyle w:val="BodyText"/>
            </w:pPr>
            <w:r w:rsidRPr="00291A65">
              <w:t xml:space="preserve">Assessors must hold credentials specified within the Standards for Registered Training Organisations current at the time of assessment. </w:t>
            </w:r>
          </w:p>
          <w:p w:rsidR="00000000" w:rsidRPr="00291A65" w:rsidP="00291A65">
            <w:pPr>
              <w:pStyle w:val="BodyText"/>
            </w:pPr>
            <w:r w:rsidRPr="00291A65">
              <w:t>Assessment must satisfy the Principles of Assessment and Rules of Evidence and all regulatory requirements included wit</w:t>
            </w:r>
            <w:r w:rsidRPr="00291A65">
              <w:t>hin the Standards for Registered Training Organisations current at the time of assessment.</w:t>
            </w:r>
          </w:p>
          <w:p w:rsidR="00000000" w:rsidRPr="00291A65" w:rsidP="00291A65">
            <w:pPr>
              <w:pStyle w:val="BodyText"/>
            </w:pPr>
            <w:r w:rsidRPr="00291A65">
              <w:t>Assessment must occur in workplace operational situations where it is appropriate to do so; where this is not appropriate, assessment must occur in simulated workpla</w:t>
            </w:r>
            <w:r w:rsidRPr="00291A65">
              <w:t>ce operational situations that replicate rail corridor workplace conditions.</w:t>
            </w:r>
          </w:p>
          <w:p w:rsidR="00000000" w:rsidRPr="00291A65" w:rsidP="00291A65">
            <w:pPr>
              <w:pStyle w:val="BodyText"/>
            </w:pPr>
            <w:r w:rsidRPr="00291A6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91A65" w:rsidP="00291A65">
            <w:pPr>
              <w:pStyle w:val="BodyText"/>
            </w:pPr>
            <w:r w:rsidRPr="00291A65">
              <w:t>Resources f</w:t>
            </w:r>
            <w:r w:rsidRPr="00291A65">
              <w:t>or assessment must include access to:</w:t>
            </w:r>
          </w:p>
          <w:p w:rsidR="00000000" w:rsidRPr="00291A65" w:rsidP="00291A65">
            <w:pPr>
              <w:pStyle w:val="ListBullet"/>
            </w:pPr>
            <w:r w:rsidRPr="00291A65">
              <w:t>a range of relevant exercises, case studies and/or simulations</w:t>
            </w:r>
          </w:p>
          <w:p w:rsidR="00000000" w:rsidRPr="00291A65" w:rsidP="00291A65">
            <w:pPr>
              <w:pStyle w:val="ListBullet"/>
            </w:pPr>
            <w:r w:rsidRPr="00291A65">
              <w:t>relevant and appropriate materials, tools, equipment and personal protective equipment (PPE) currently used in industry</w:t>
            </w:r>
          </w:p>
          <w:p w:rsidR="00000000" w:rsidRPr="00291A65" w:rsidP="00291A65">
            <w:pPr>
              <w:pStyle w:val="ListBullet"/>
            </w:pPr>
            <w:r w:rsidRPr="00291A65">
              <w:t>applicable documentation including</w:t>
            </w:r>
            <w:r w:rsidRPr="00291A65">
              <w:t xml:space="preserve"> workplace procedures, system of safeworking, regulations, codes of practice and operation manuals.</w:t>
            </w:r>
          </w:p>
        </w:tc>
      </w:tr>
    </w:tbl>
    <w:p w:rsidR="00000000" w:rsidRPr="00291A65" w:rsidP="00291A65">
      <w:pPr>
        <w:pStyle w:val="NoPaddingFontSize1"/>
      </w:pPr>
    </w:p>
    <w:p w:rsidR="00000000" w:rsidRPr="00291A65" w:rsidP="00291A65">
      <w:pPr>
        <w:pStyle w:val="AllowPageBreak"/>
      </w:pPr>
    </w:p>
    <w:p w:rsidR="00000000" w:rsidRPr="00291A65" w:rsidP="00291A65">
      <w:pPr>
        <w:pStyle w:val="Heading1"/>
      </w:pPr>
      <w:bookmarkStart w:id="5" w:name="O_1191770"/>
      <w:bookmarkEnd w:id="5"/>
      <w:r w:rsidRPr="00291A65">
        <w:t>Links</w:t>
      </w:r>
    </w:p>
    <w:p w:rsidR="00000000" w:rsidRPr="00291A65" w:rsidP="00DA42AF">
      <w:pPr>
        <w:pStyle w:val="BodyText"/>
      </w:pPr>
      <w:r w:rsidRPr="00291A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A576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91A65" w:rsidP="00291A65"/>
    <w:sectPr w:rsidSect="00291A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A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A65" w:rsidRPr="00DA42AF" w:rsidP="00DA42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A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2AF" w:rsidP="00291A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42AF" w:rsidP="00291A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A42AF" w:rsidP="00291A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A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2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1A65" w:rsidRPr="00DA42AF" w:rsidP="00DA42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A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2AF" w:rsidRPr="002D2AF8" w:rsidP="00291A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TLIC0016 Identify and respond to signals and trackside 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A42AF" w:rsidP="00291A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E807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468A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A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1A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1A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1A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1A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1A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1A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1A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1A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1A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1A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1A65"/>
  </w:style>
  <w:style w:type="character" w:customStyle="1" w:styleId="Heading1Char">
    <w:name w:val="Heading 1 Char"/>
    <w:basedOn w:val="DefaultParagraphFont"/>
    <w:link w:val="Heading1"/>
    <w:rsid w:val="00291A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1A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1A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1A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1A65"/>
    <w:rPr>
      <w:b/>
      <w:spacing w:val="0"/>
    </w:rPr>
  </w:style>
  <w:style w:type="paragraph" w:customStyle="1" w:styleId="SuperHeading">
    <w:name w:val="SuperHeading"/>
    <w:basedOn w:val="Normal"/>
    <w:rsid w:val="00291A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1A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91A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1A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1A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1A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1A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1A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1A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1A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1A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1A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1A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1A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1A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1A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1A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1A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1A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1A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1A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1A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1A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1A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1A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1A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1A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1A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1A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1A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1A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1A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1A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1A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1A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1A65"/>
    <w:rPr>
      <w:i/>
    </w:rPr>
  </w:style>
  <w:style w:type="paragraph" w:styleId="Caption">
    <w:name w:val="caption"/>
    <w:basedOn w:val="BodyText"/>
    <w:next w:val="Normal"/>
    <w:qFormat/>
    <w:rsid w:val="00291A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1A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1A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1A65"/>
  </w:style>
  <w:style w:type="paragraph" w:styleId="TableofFigures">
    <w:name w:val="table of figures"/>
    <w:basedOn w:val="Normal"/>
    <w:next w:val="Normal"/>
    <w:semiHidden/>
    <w:rsid w:val="00291A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1A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1A65"/>
    <w:rPr>
      <w:rFonts w:ascii="Wingdings" w:hAnsi="Wingdings"/>
    </w:rPr>
  </w:style>
  <w:style w:type="paragraph" w:customStyle="1" w:styleId="TableHeading">
    <w:name w:val="Table Heading"/>
    <w:basedOn w:val="HeadingBase"/>
    <w:rsid w:val="00291A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1A65"/>
    <w:rPr>
      <w:color w:val="0033CC"/>
      <w:u w:val="none"/>
    </w:rPr>
  </w:style>
  <w:style w:type="paragraph" w:customStyle="1" w:styleId="BodyTextRight">
    <w:name w:val="Body Text Right"/>
    <w:basedOn w:val="BodyText"/>
    <w:rsid w:val="00291A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1A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1A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1A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1A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1A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1A65"/>
    <w:rPr>
      <w:sz w:val="32"/>
    </w:rPr>
  </w:style>
  <w:style w:type="paragraph" w:customStyle="1" w:styleId="HeadingProcedure">
    <w:name w:val="Heading Procedure"/>
    <w:basedOn w:val="HeadingBase"/>
    <w:next w:val="Normal"/>
    <w:rsid w:val="00291A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1A65"/>
    <w:pPr>
      <w:spacing w:before="60" w:after="60"/>
    </w:pPr>
  </w:style>
  <w:style w:type="paragraph" w:styleId="ListContinue">
    <w:name w:val="List Continue"/>
    <w:basedOn w:val="List"/>
    <w:rsid w:val="00291A65"/>
    <w:pPr>
      <w:ind w:firstLine="0"/>
    </w:pPr>
  </w:style>
  <w:style w:type="paragraph" w:customStyle="1" w:styleId="ListNote">
    <w:name w:val="List Note"/>
    <w:basedOn w:val="List"/>
    <w:rsid w:val="00291A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1A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1A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1A65"/>
    <w:rPr>
      <w:rFonts w:ascii="Courier New" w:hAnsi="Courier New"/>
    </w:rPr>
  </w:style>
  <w:style w:type="paragraph" w:customStyle="1" w:styleId="NoteBullet">
    <w:name w:val="Note Bullet"/>
    <w:basedOn w:val="Note"/>
    <w:rsid w:val="00291A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1A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1A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1A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1A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1A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1A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1A65"/>
    <w:rPr>
      <w:b/>
      <w:smallCaps/>
    </w:rPr>
  </w:style>
  <w:style w:type="paragraph" w:customStyle="1" w:styleId="TableListNumber">
    <w:name w:val="Table List Number"/>
    <w:basedOn w:val="ListNumber"/>
    <w:rsid w:val="00291A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1A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1A65"/>
    <w:pPr>
      <w:numPr>
        <w:numId w:val="8"/>
      </w:numPr>
    </w:pPr>
  </w:style>
  <w:style w:type="paragraph" w:customStyle="1" w:styleId="ListAlpha2">
    <w:name w:val="List Alpha 2"/>
    <w:basedOn w:val="List2"/>
    <w:rsid w:val="00291A65"/>
    <w:pPr>
      <w:numPr>
        <w:numId w:val="7"/>
      </w:numPr>
    </w:pPr>
  </w:style>
  <w:style w:type="paragraph" w:styleId="List2">
    <w:name w:val="List 2"/>
    <w:basedOn w:val="BodyText"/>
    <w:rsid w:val="00291A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1A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1A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1A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1A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1A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1A65"/>
    <w:pPr>
      <w:numPr>
        <w:numId w:val="3"/>
      </w:numPr>
    </w:pPr>
  </w:style>
  <w:style w:type="paragraph" w:styleId="ListContinue2">
    <w:name w:val="List Continue 2"/>
    <w:basedOn w:val="List2"/>
    <w:rsid w:val="00291A65"/>
    <w:pPr>
      <w:ind w:firstLine="0"/>
    </w:pPr>
  </w:style>
  <w:style w:type="paragraph" w:styleId="ListContinue3">
    <w:name w:val="List Continue 3"/>
    <w:basedOn w:val="List3"/>
    <w:rsid w:val="00291A65"/>
    <w:pPr>
      <w:ind w:left="1021" w:firstLine="0"/>
    </w:pPr>
  </w:style>
  <w:style w:type="paragraph" w:styleId="ListContinue4">
    <w:name w:val="List Continue 4"/>
    <w:basedOn w:val="List4"/>
    <w:rsid w:val="00291A65"/>
    <w:pPr>
      <w:ind w:firstLine="0"/>
    </w:pPr>
  </w:style>
  <w:style w:type="paragraph" w:styleId="ListContinue5">
    <w:name w:val="List Continue 5"/>
    <w:basedOn w:val="List5"/>
    <w:rsid w:val="00291A65"/>
    <w:pPr>
      <w:ind w:firstLine="0"/>
    </w:pPr>
  </w:style>
  <w:style w:type="paragraph" w:styleId="ListNumber3">
    <w:name w:val="List Number 3"/>
    <w:basedOn w:val="List3"/>
    <w:rsid w:val="00291A65"/>
    <w:pPr>
      <w:numPr>
        <w:numId w:val="4"/>
      </w:numPr>
    </w:pPr>
  </w:style>
  <w:style w:type="paragraph" w:styleId="ListNumber4">
    <w:name w:val="List Number 4"/>
    <w:basedOn w:val="List4"/>
    <w:rsid w:val="00291A65"/>
    <w:pPr>
      <w:numPr>
        <w:numId w:val="5"/>
      </w:numPr>
    </w:pPr>
  </w:style>
  <w:style w:type="paragraph" w:styleId="ListNumber5">
    <w:name w:val="List Number 5"/>
    <w:basedOn w:val="List5"/>
    <w:rsid w:val="00291A65"/>
    <w:pPr>
      <w:numPr>
        <w:numId w:val="6"/>
      </w:numPr>
    </w:pPr>
  </w:style>
  <w:style w:type="paragraph" w:styleId="BlockText">
    <w:name w:val="Block Text"/>
    <w:basedOn w:val="Normal"/>
    <w:rsid w:val="00291A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1A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1A65"/>
    <w:rPr>
      <w:sz w:val="16"/>
      <w:vertAlign w:val="superscript"/>
    </w:rPr>
  </w:style>
  <w:style w:type="character" w:customStyle="1" w:styleId="Symbols">
    <w:name w:val="Symbols"/>
    <w:basedOn w:val="DefaultParagraphFont"/>
    <w:rsid w:val="00291A65"/>
    <w:rPr>
      <w:rFonts w:ascii="Symbol" w:hAnsi="Symbol"/>
    </w:rPr>
  </w:style>
  <w:style w:type="character" w:customStyle="1" w:styleId="MenuOptions">
    <w:name w:val="Menu Options"/>
    <w:basedOn w:val="DefaultParagraphFont"/>
    <w:rsid w:val="00291A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1A65"/>
    <w:rPr>
      <w:b/>
    </w:rPr>
  </w:style>
  <w:style w:type="character" w:customStyle="1" w:styleId="Underlined">
    <w:name w:val="Underlined"/>
    <w:basedOn w:val="DefaultParagraphFont"/>
    <w:rsid w:val="00291A65"/>
    <w:rPr>
      <w:u w:val="single"/>
    </w:rPr>
  </w:style>
  <w:style w:type="paragraph" w:customStyle="1" w:styleId="TableBodyTextRight">
    <w:name w:val="Table Body Text Right"/>
    <w:basedOn w:val="TableBodyText"/>
    <w:rsid w:val="00291A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1A65"/>
    <w:rPr>
      <w:sz w:val="18"/>
    </w:rPr>
  </w:style>
  <w:style w:type="paragraph" w:customStyle="1" w:styleId="BodySmallRight">
    <w:name w:val="Body Small Right"/>
    <w:basedOn w:val="BodyTextRight"/>
    <w:rsid w:val="00291A65"/>
    <w:rPr>
      <w:sz w:val="18"/>
      <w:szCs w:val="18"/>
    </w:rPr>
  </w:style>
  <w:style w:type="paragraph" w:customStyle="1" w:styleId="MarginEdition">
    <w:name w:val="Margin Edition"/>
    <w:basedOn w:val="MarginNote"/>
    <w:rsid w:val="00291A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1A65"/>
    <w:rPr>
      <w:sz w:val="2"/>
      <w:szCs w:val="2"/>
    </w:rPr>
  </w:style>
  <w:style w:type="character" w:customStyle="1" w:styleId="Small">
    <w:name w:val="Small"/>
    <w:basedOn w:val="DefaultParagraphFont"/>
    <w:rsid w:val="00291A65"/>
    <w:rPr>
      <w:sz w:val="16"/>
    </w:rPr>
  </w:style>
  <w:style w:type="paragraph" w:customStyle="1" w:styleId="WideTable">
    <w:name w:val="Wide Table"/>
    <w:basedOn w:val="Normal"/>
    <w:rsid w:val="00291A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1A65"/>
  </w:style>
  <w:style w:type="paragraph" w:styleId="Quote">
    <w:name w:val="Quote"/>
    <w:basedOn w:val="Heading1"/>
    <w:link w:val="QuoteChar"/>
    <w:qFormat/>
    <w:rsid w:val="00291A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1A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1A65"/>
    <w:pPr>
      <w:pageBreakBefore/>
    </w:pPr>
  </w:style>
  <w:style w:type="paragraph" w:customStyle="1" w:styleId="Border">
    <w:name w:val="Border"/>
    <w:basedOn w:val="Normal"/>
    <w:qFormat/>
    <w:rsid w:val="00291A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1A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A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A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1A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1A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1A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1A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1A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1A65"/>
    <w:rPr>
      <w:u w:val="single"/>
    </w:rPr>
  </w:style>
  <w:style w:type="character" w:customStyle="1" w:styleId="BoldandItalics">
    <w:name w:val="Bold and Italics"/>
    <w:qFormat/>
    <w:rsid w:val="00291A65"/>
    <w:rPr>
      <w:b/>
      <w:i/>
      <w:u w:val="none"/>
    </w:rPr>
  </w:style>
  <w:style w:type="paragraph" w:styleId="BalloonText">
    <w:name w:val="Balloon Text"/>
    <w:basedOn w:val="Normal"/>
    <w:link w:val="BalloonTextChar"/>
    <w:rsid w:val="00291A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1A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1A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1A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1A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1A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1A65"/>
    <w:pPr>
      <w:spacing w:before="0" w:after="0"/>
    </w:pPr>
  </w:style>
  <w:style w:type="paragraph" w:customStyle="1" w:styleId="BodyTextBold">
    <w:name w:val="Body Text Bold"/>
    <w:basedOn w:val="BodyText"/>
    <w:qFormat/>
    <w:rsid w:val="00291A65"/>
    <w:rPr>
      <w:b/>
    </w:rPr>
  </w:style>
  <w:style w:type="character" w:styleId="Hyperlink">
    <w:name w:val="Hyperlink"/>
    <w:basedOn w:val="DefaultParagraphFont"/>
    <w:uiPriority w:val="99"/>
    <w:unhideWhenUsed/>
    <w:rsid w:val="00DA42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507</Words>
  <Characters>3394</Characters>
  <Application>Microsoft Office Word</Application>
  <DocSecurity>0</DocSecurity>
  <Lines>75</Lines>
  <Paragraphs>44</Paragraphs>
  <ScaleCrop>false</ScaleCrop>
  <Company>Author-it Software Corporation Ltd.</Company>
  <LinksUpToDate>false</LinksUpToDate>
  <CharactersWithSpaces>3857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TLIC0016 Identify and respond to signals and trackside signs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2024-07-12T07:33:00Z</dcterms:created>
  <dcterms:modified xsi:type="dcterms:W3CDTF">2024-07-12T07:33:00Z</dcterms:modified>
</cp:coreProperties>
</file>