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CCC" w:rsidP="00BA2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TLIC0008 Assist with shunting, coupling and uncoupling electric passenger trains</w:t>
      </w:r>
      <w:r>
        <w:fldChar w:fldCharType="end"/>
      </w:r>
    </w:p>
    <w:p w:rsidR="00BA2CCC" w:rsidP="00BA2CCC">
      <w:pPr>
        <w:pStyle w:val="Version"/>
        <w:sectPr w:rsidSect="00DD2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D11" w:rsidP="00DD2D11">
      <w:pPr>
        <w:pStyle w:val="SuperHeading"/>
      </w:pPr>
      <w:r w:rsidRPr="00DD2D11">
        <w:t>TLIC0008 Assist with shunting, coupling and uncoupling electric passenger trains</w:t>
      </w:r>
    </w:p>
    <w:p w:rsidR="00000000" w:rsidRPr="00DD2D11" w:rsidP="00DD2D11">
      <w:pPr>
        <w:pStyle w:val="Heading1"/>
      </w:pPr>
      <w:bookmarkStart w:id="1" w:name="O_1091126"/>
      <w:bookmarkEnd w:id="1"/>
      <w:r w:rsidRPr="00DD2D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Release 1</w:t>
            </w:r>
            <w:r w:rsidRPr="00DD2D11">
              <w:t>. This is the first release of this unit of competency in the TLI Transport and Logistics Training Package.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2" w:name="O_1091127"/>
      <w:bookmarkEnd w:id="2"/>
      <w:r w:rsidRPr="00DD2D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t>This unit involves the skills and knowledge required to assist a train driver to shunt, couple and uncouple an electric passenger train to operational requirements in accordance with safeworking and regulatory requirements, and workpla</w:t>
            </w:r>
            <w:r w:rsidRPr="00DD2D11">
              <w:t>ce procedures.</w:t>
            </w:r>
          </w:p>
          <w:p w:rsidR="00000000" w:rsidRPr="00DD2D11" w:rsidP="00DD2D11">
            <w:pPr>
              <w:pStyle w:val="BodyText"/>
            </w:pPr>
            <w:r w:rsidRPr="00DD2D11">
              <w:t>It includes assisting with planning and preparing for shunting operations, shunting the train, coupling and uncoupling the train, and using a coupling adaptor.</w:t>
            </w:r>
          </w:p>
          <w:p w:rsidR="00000000" w:rsidRPr="00DD2D11" w:rsidP="00DD2D11">
            <w:pPr>
              <w:pStyle w:val="BodyText"/>
            </w:pPr>
            <w:r w:rsidRPr="00DD2D11">
              <w:t>People achieving competence in this unit will need to fulfil the applicable state</w:t>
            </w:r>
            <w:r w:rsidRPr="00DD2D11">
              <w:t>/territory legislated rail safety and safeworking requirements and to comply with relevant codes of practice and/or guidelines.</w:t>
            </w:r>
          </w:p>
          <w:p w:rsidR="00000000" w:rsidRPr="00DD2D11" w:rsidP="00DD2D11">
            <w:pPr>
              <w:pStyle w:val="BodyText"/>
            </w:pPr>
            <w:r w:rsidRPr="00DD2D11">
              <w:t>Work is performed with minimal supervision, generally within a team environment. It involves the application of routine operatio</w:t>
            </w:r>
            <w:r w:rsidRPr="00DD2D11">
              <w:t>nal principles and procedures to assist with shunting, coupling and uncoupling electric passenger trains to operational requirements as part of workplace activities across a variety of operational contexts within the Australian rail system.</w:t>
            </w:r>
          </w:p>
          <w:p w:rsidR="00000000" w:rsidRPr="00DD2D11" w:rsidP="00DD2D11">
            <w:pPr>
              <w:pStyle w:val="BodyText"/>
            </w:pPr>
            <w:r w:rsidRPr="00DD2D11">
              <w:t>No licensing, l</w:t>
            </w:r>
            <w:r w:rsidRPr="00DD2D11">
              <w:t>egislative or certification requirements apply to this unit at the time of publication.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3" w:name="O_1091128"/>
      <w:bookmarkEnd w:id="3"/>
      <w:r w:rsidRPr="00DD2D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t>Not applicable.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4" w:name="O_1091129"/>
      <w:bookmarkEnd w:id="4"/>
      <w:r w:rsidRPr="00DD2D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t>C – Vehicle Operation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5" w:name="O_1091130"/>
      <w:bookmarkEnd w:id="5"/>
      <w:r w:rsidRPr="00DD2D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t>Rail sector.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6" w:name="O_1091131"/>
      <w:bookmarkEnd w:id="6"/>
      <w:r w:rsidRPr="00DD2D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PERFORMANCE CRITERIA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Performance criteria describe the performance needed to demonstrate achievement of the element.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Assist with preparing for shunting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Shunting requirements are confirmed through workplace documents and/or relevant personnel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Local safety requirements are identified and followed in accordance with workplace procedures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Hazards are identified, risks are assessed and risk control measures are implemented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Relevant work health and safety (WHS)/occupational health and safety (OHS) requirements are followed to prevent injury and damage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Shunt trains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Points, levers</w:t>
            </w:r>
            <w:r w:rsidRPr="00DD2D11">
              <w:t>, and/or switches are operated in accordance with workplace requirements as required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Audible signals, hand signals and/or other line of sight communications are used to assist control of train movements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Hand, flag, light or radio shunting com</w:t>
            </w:r>
            <w:r w:rsidRPr="00DD2D11">
              <w:t>mands used are responded to in accordance with workplace requirements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Pre-movement inspection/tests are carried out prior to moving trains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Assist with coupling trains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Type of connections required are identified prior to coupling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Situations requiring the use of a coupling adaptor are identified, as required, in accordance with workplace procedures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All safety requirements are met prior to coupling train in accordance with workplace procedures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Coupling adaptor, if required, is accessed and transported to required location for use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Coupling adaptor, if required is attached to one of the trains prior to coupling in accordance with workplace procedures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 xml:space="preserve">Trains are coupled in accordance </w:t>
            </w:r>
            <w:r w:rsidRPr="00DD2D11">
              <w:t>with workplace procedures and coupling adaptor is secured in place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After trains are coupled, post-coupling inspection/tests are carried out in accordance with operating procedures and workplace requirements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rPr>
                <w:rStyle w:val="SpecialBold"/>
              </w:rPr>
              <w:t>Assist with uncoupling trains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Train to be uncoupled is identified and checks are made to ensure all safety requirements are met prior to uncoupling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Train is uncoupled in accordance with operating procedures and workplace requirements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t>Coupling equipment is removed and stor</w:t>
            </w:r>
            <w:r w:rsidRPr="00DD2D11">
              <w:t>ed in accordance with operating and workplace procedures</w:t>
            </w:r>
          </w:p>
        </w:tc>
      </w:tr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D11">
            <w:pPr>
              <w:pStyle w:val="BodyText"/>
              <w:rPr>
                <w:lang w:val="en-NZ"/>
              </w:rPr>
            </w:pPr>
            <w:r w:rsidRPr="00DD2D1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t>Post-uncoupling inspection/tests are carried out in accordance with operating procedures and workplace requirements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7" w:name="O_1091132"/>
      <w:bookmarkEnd w:id="7"/>
      <w:r w:rsidRPr="00DD2D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t>Foundation skills essential to perfor</w:t>
            </w:r>
            <w:r w:rsidRPr="00DD2D11">
              <w:t>mance are explicit in the performance criteria of this unit of competency.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8" w:name="O_1091133"/>
      <w:bookmarkEnd w:id="8"/>
      <w:r w:rsidRPr="00DD2D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t>Range is restricted to essential operating conditions and any other variables essential to the work environment.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9" w:name="O_1091134"/>
      <w:bookmarkEnd w:id="9"/>
      <w:r w:rsidRPr="00DD2D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D11" w:rsidP="00DD2D11">
            <w:pPr>
              <w:pStyle w:val="BodyText"/>
            </w:pPr>
            <w:r w:rsidRPr="00DD2D11">
              <w:t>This unit replaces and is equivalent to TLIC3052 Assist with shunting, coupling and uncoupling electric passenger trains.</w:t>
            </w:r>
          </w:p>
        </w:tc>
      </w:tr>
    </w:tbl>
    <w:p w:rsidR="00000000" w:rsidRPr="00DD2D11" w:rsidP="00DD2D11">
      <w:pPr>
        <w:pStyle w:val="NoPaddingFontSize1"/>
      </w:pPr>
    </w:p>
    <w:p w:rsidR="00000000" w:rsidRPr="00DD2D11" w:rsidP="00DD2D11">
      <w:pPr>
        <w:pStyle w:val="AllowPageBreak"/>
      </w:pPr>
    </w:p>
    <w:p w:rsidR="00000000" w:rsidRPr="00DD2D11" w:rsidP="00DD2D11">
      <w:pPr>
        <w:pStyle w:val="Heading1"/>
      </w:pPr>
      <w:bookmarkStart w:id="10" w:name="O_1091141"/>
      <w:bookmarkEnd w:id="10"/>
      <w:r w:rsidRPr="00DD2D11">
        <w:t>Links</w:t>
      </w:r>
    </w:p>
    <w:p w:rsidR="00000000" w:rsidRPr="00DD2D11" w:rsidP="00BA2CCC">
      <w:pPr>
        <w:pStyle w:val="BodyText"/>
      </w:pPr>
      <w:r w:rsidRPr="00DD2D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0B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2D11" w:rsidP="00DD2D11"/>
    <w:sectPr w:rsidSect="00DD2D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11" w:rsidRPr="00BA2CCC" w:rsidP="00BA2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CC" w:rsidP="00DD2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CCC" w:rsidP="00DD2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A2CCC" w:rsidP="00DD2D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D11" w:rsidRPr="00BA2CCC" w:rsidP="00BA2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CC" w:rsidRPr="002D2AF8" w:rsidP="00DD2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TLIC0008 Assist with shunting, coupling and uncoupling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A2CCC" w:rsidP="00DD2D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D11"/>
  </w:style>
  <w:style w:type="character" w:customStyle="1" w:styleId="Heading1Char">
    <w:name w:val="Heading 1 Char"/>
    <w:basedOn w:val="DefaultParagraphFont"/>
    <w:link w:val="Heading1"/>
    <w:rsid w:val="00DD2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D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D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2D11"/>
    <w:rPr>
      <w:b/>
      <w:spacing w:val="0"/>
    </w:rPr>
  </w:style>
  <w:style w:type="paragraph" w:customStyle="1" w:styleId="SuperHeading">
    <w:name w:val="SuperHeading"/>
    <w:basedOn w:val="Normal"/>
    <w:rsid w:val="00DD2D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2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D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D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D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D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D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D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2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D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D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D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D11"/>
    <w:rPr>
      <w:i/>
    </w:rPr>
  </w:style>
  <w:style w:type="paragraph" w:styleId="Caption">
    <w:name w:val="caption"/>
    <w:basedOn w:val="BodyText"/>
    <w:next w:val="Normal"/>
    <w:qFormat/>
    <w:rsid w:val="00DD2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D11"/>
  </w:style>
  <w:style w:type="paragraph" w:styleId="TableofFigures">
    <w:name w:val="table of figures"/>
    <w:basedOn w:val="Normal"/>
    <w:next w:val="Normal"/>
    <w:semiHidden/>
    <w:rsid w:val="00DD2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D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2D11"/>
    <w:rPr>
      <w:rFonts w:ascii="Wingdings" w:hAnsi="Wingdings"/>
    </w:rPr>
  </w:style>
  <w:style w:type="paragraph" w:customStyle="1" w:styleId="TableHeading">
    <w:name w:val="Table Heading"/>
    <w:basedOn w:val="HeadingBase"/>
    <w:rsid w:val="00DD2D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D11"/>
    <w:rPr>
      <w:color w:val="0033CC"/>
      <w:u w:val="none"/>
    </w:rPr>
  </w:style>
  <w:style w:type="paragraph" w:customStyle="1" w:styleId="BodyTextRight">
    <w:name w:val="Body Text Right"/>
    <w:basedOn w:val="BodyText"/>
    <w:rsid w:val="00DD2D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D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D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D11"/>
    <w:rPr>
      <w:sz w:val="32"/>
    </w:rPr>
  </w:style>
  <w:style w:type="paragraph" w:customStyle="1" w:styleId="HeadingProcedure">
    <w:name w:val="Heading Procedure"/>
    <w:basedOn w:val="HeadingBase"/>
    <w:next w:val="Normal"/>
    <w:rsid w:val="00DD2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D11"/>
    <w:pPr>
      <w:spacing w:before="60" w:after="60"/>
    </w:pPr>
  </w:style>
  <w:style w:type="paragraph" w:styleId="ListContinue">
    <w:name w:val="List Continue"/>
    <w:basedOn w:val="List"/>
    <w:rsid w:val="00DD2D11"/>
    <w:pPr>
      <w:ind w:firstLine="0"/>
    </w:pPr>
  </w:style>
  <w:style w:type="paragraph" w:customStyle="1" w:styleId="ListNote">
    <w:name w:val="List Note"/>
    <w:basedOn w:val="List"/>
    <w:rsid w:val="00DD2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D11"/>
    <w:rPr>
      <w:rFonts w:ascii="Courier New" w:hAnsi="Courier New"/>
    </w:rPr>
  </w:style>
  <w:style w:type="paragraph" w:customStyle="1" w:styleId="NoteBullet">
    <w:name w:val="Note Bullet"/>
    <w:basedOn w:val="Note"/>
    <w:rsid w:val="00DD2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D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2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D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D11"/>
    <w:rPr>
      <w:b/>
      <w:smallCaps/>
    </w:rPr>
  </w:style>
  <w:style w:type="paragraph" w:customStyle="1" w:styleId="TableListNumber">
    <w:name w:val="Table List Number"/>
    <w:basedOn w:val="ListNumber"/>
    <w:rsid w:val="00DD2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D11"/>
    <w:pPr>
      <w:numPr>
        <w:numId w:val="7"/>
      </w:numPr>
    </w:pPr>
  </w:style>
  <w:style w:type="paragraph" w:customStyle="1" w:styleId="ListAlpha2">
    <w:name w:val="List Alpha 2"/>
    <w:basedOn w:val="List2"/>
    <w:rsid w:val="00DD2D11"/>
    <w:pPr>
      <w:numPr>
        <w:numId w:val="6"/>
      </w:numPr>
    </w:pPr>
  </w:style>
  <w:style w:type="paragraph" w:styleId="List2">
    <w:name w:val="List 2"/>
    <w:basedOn w:val="BodyText"/>
    <w:rsid w:val="00DD2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D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D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2D11"/>
    <w:pPr>
      <w:numPr>
        <w:numId w:val="2"/>
      </w:numPr>
    </w:pPr>
  </w:style>
  <w:style w:type="paragraph" w:styleId="ListContinue2">
    <w:name w:val="List Continue 2"/>
    <w:basedOn w:val="List2"/>
    <w:rsid w:val="00DD2D11"/>
    <w:pPr>
      <w:ind w:firstLine="0"/>
    </w:pPr>
  </w:style>
  <w:style w:type="paragraph" w:styleId="ListContinue3">
    <w:name w:val="List Continue 3"/>
    <w:basedOn w:val="List3"/>
    <w:rsid w:val="00DD2D11"/>
    <w:pPr>
      <w:ind w:left="1021" w:firstLine="0"/>
    </w:pPr>
  </w:style>
  <w:style w:type="paragraph" w:styleId="ListContinue4">
    <w:name w:val="List Continue 4"/>
    <w:basedOn w:val="List4"/>
    <w:rsid w:val="00DD2D11"/>
    <w:pPr>
      <w:ind w:firstLine="0"/>
    </w:pPr>
  </w:style>
  <w:style w:type="paragraph" w:styleId="ListContinue5">
    <w:name w:val="List Continue 5"/>
    <w:basedOn w:val="List5"/>
    <w:rsid w:val="00DD2D11"/>
    <w:pPr>
      <w:ind w:firstLine="0"/>
    </w:pPr>
  </w:style>
  <w:style w:type="paragraph" w:styleId="ListNumber3">
    <w:name w:val="List Number 3"/>
    <w:basedOn w:val="List3"/>
    <w:rsid w:val="00DD2D11"/>
    <w:pPr>
      <w:numPr>
        <w:numId w:val="3"/>
      </w:numPr>
    </w:pPr>
  </w:style>
  <w:style w:type="paragraph" w:styleId="ListNumber4">
    <w:name w:val="List Number 4"/>
    <w:basedOn w:val="List4"/>
    <w:rsid w:val="00DD2D11"/>
    <w:pPr>
      <w:numPr>
        <w:numId w:val="4"/>
      </w:numPr>
    </w:pPr>
  </w:style>
  <w:style w:type="paragraph" w:styleId="ListNumber5">
    <w:name w:val="List Number 5"/>
    <w:basedOn w:val="List5"/>
    <w:rsid w:val="00DD2D11"/>
    <w:pPr>
      <w:numPr>
        <w:numId w:val="5"/>
      </w:numPr>
    </w:pPr>
  </w:style>
  <w:style w:type="paragraph" w:styleId="BlockText">
    <w:name w:val="Block Text"/>
    <w:basedOn w:val="Normal"/>
    <w:rsid w:val="00DD2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D11"/>
    <w:rPr>
      <w:sz w:val="16"/>
      <w:vertAlign w:val="superscript"/>
    </w:rPr>
  </w:style>
  <w:style w:type="character" w:customStyle="1" w:styleId="Symbols">
    <w:name w:val="Symbols"/>
    <w:basedOn w:val="DefaultParagraphFont"/>
    <w:rsid w:val="00DD2D11"/>
    <w:rPr>
      <w:rFonts w:ascii="Symbol" w:hAnsi="Symbol"/>
    </w:rPr>
  </w:style>
  <w:style w:type="character" w:customStyle="1" w:styleId="MenuOptions">
    <w:name w:val="Menu Options"/>
    <w:basedOn w:val="DefaultParagraphFont"/>
    <w:rsid w:val="00DD2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D11"/>
    <w:rPr>
      <w:b/>
    </w:rPr>
  </w:style>
  <w:style w:type="character" w:customStyle="1" w:styleId="Underlined">
    <w:name w:val="Underlined"/>
    <w:basedOn w:val="DefaultParagraphFont"/>
    <w:rsid w:val="00DD2D11"/>
    <w:rPr>
      <w:u w:val="single"/>
    </w:rPr>
  </w:style>
  <w:style w:type="paragraph" w:customStyle="1" w:styleId="TableBodyTextRight">
    <w:name w:val="Table Body Text Right"/>
    <w:basedOn w:val="TableBodyText"/>
    <w:rsid w:val="00DD2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D11"/>
    <w:rPr>
      <w:sz w:val="18"/>
    </w:rPr>
  </w:style>
  <w:style w:type="paragraph" w:customStyle="1" w:styleId="BodySmallRight">
    <w:name w:val="Body Small Right"/>
    <w:basedOn w:val="BodyTextRight"/>
    <w:rsid w:val="00DD2D11"/>
    <w:rPr>
      <w:sz w:val="18"/>
      <w:szCs w:val="18"/>
    </w:rPr>
  </w:style>
  <w:style w:type="paragraph" w:customStyle="1" w:styleId="MarginEdition">
    <w:name w:val="Margin Edition"/>
    <w:basedOn w:val="MarginNote"/>
    <w:rsid w:val="00DD2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D11"/>
    <w:rPr>
      <w:sz w:val="2"/>
      <w:szCs w:val="2"/>
    </w:rPr>
  </w:style>
  <w:style w:type="character" w:customStyle="1" w:styleId="Small">
    <w:name w:val="Small"/>
    <w:basedOn w:val="DefaultParagraphFont"/>
    <w:rsid w:val="00DD2D11"/>
    <w:rPr>
      <w:sz w:val="16"/>
    </w:rPr>
  </w:style>
  <w:style w:type="paragraph" w:customStyle="1" w:styleId="WideTable">
    <w:name w:val="Wide Table"/>
    <w:basedOn w:val="Normal"/>
    <w:rsid w:val="00DD2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D11"/>
  </w:style>
  <w:style w:type="paragraph" w:styleId="Quote">
    <w:name w:val="Quote"/>
    <w:basedOn w:val="Heading1"/>
    <w:link w:val="QuoteChar"/>
    <w:qFormat/>
    <w:rsid w:val="00DD2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D11"/>
    <w:pPr>
      <w:pageBreakBefore/>
    </w:pPr>
  </w:style>
  <w:style w:type="paragraph" w:customStyle="1" w:styleId="Border">
    <w:name w:val="Border"/>
    <w:basedOn w:val="Normal"/>
    <w:qFormat/>
    <w:rsid w:val="00DD2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D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D11"/>
    <w:rPr>
      <w:u w:val="single"/>
    </w:rPr>
  </w:style>
  <w:style w:type="character" w:customStyle="1" w:styleId="BoldandItalics">
    <w:name w:val="Bold and Italics"/>
    <w:qFormat/>
    <w:rsid w:val="00DD2D11"/>
    <w:rPr>
      <w:b/>
      <w:i/>
      <w:u w:val="none"/>
    </w:rPr>
  </w:style>
  <w:style w:type="paragraph" w:styleId="BalloonText">
    <w:name w:val="Balloon Text"/>
    <w:basedOn w:val="Normal"/>
    <w:link w:val="BalloonTextChar"/>
    <w:rsid w:val="00DD2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D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D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D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D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D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D11"/>
    <w:pPr>
      <w:spacing w:before="0" w:after="0"/>
    </w:pPr>
  </w:style>
  <w:style w:type="paragraph" w:customStyle="1" w:styleId="BodyTextBold">
    <w:name w:val="Body Text Bold"/>
    <w:basedOn w:val="BodyText"/>
    <w:qFormat/>
    <w:rsid w:val="00DD2D11"/>
    <w:rPr>
      <w:b/>
    </w:rPr>
  </w:style>
  <w:style w:type="character" w:styleId="Hyperlink">
    <w:name w:val="Hyperlink"/>
    <w:basedOn w:val="DefaultParagraphFont"/>
    <w:uiPriority w:val="99"/>
    <w:unhideWhenUsed/>
    <w:rsid w:val="00BA2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4018</Characters>
  <Application>Microsoft Office Word</Application>
  <DocSecurity>0</DocSecurity>
  <Lines>182</Lines>
  <Paragraphs>91</Paragraphs>
  <ScaleCrop>false</ScaleCrop>
  <Company>Author-it Software Corporation Ltd.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TLIC0008 Assist with shunting, coupling and uncoupling electric passenger trains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