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57A" w:rsidP="00430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TLIC0008 Assist with shunting, coupling and uncoupling electric passenger trains</w:t>
      </w:r>
      <w:r>
        <w:fldChar w:fldCharType="end"/>
      </w:r>
    </w:p>
    <w:p w:rsidR="0043057A" w:rsidP="0043057A">
      <w:pPr>
        <w:pStyle w:val="Version"/>
        <w:sectPr w:rsidSect="00CA0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56A" w:rsidP="00CA056A">
      <w:pPr>
        <w:pStyle w:val="SuperHeading"/>
      </w:pPr>
      <w:r w:rsidRPr="00CA056A">
        <w:t>Assessment Requirements for TLIC0008 Assist with shunting, coupling and uncoupling electric passenger trains</w:t>
      </w:r>
    </w:p>
    <w:p w:rsidR="00000000" w:rsidRPr="00CA056A" w:rsidP="00CA056A">
      <w:pPr>
        <w:pStyle w:val="Heading1"/>
      </w:pPr>
      <w:bookmarkStart w:id="1" w:name="O_1091136"/>
      <w:bookmarkEnd w:id="1"/>
      <w:r w:rsidRPr="00CA05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5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6A" w:rsidP="00CA056A">
            <w:pPr>
              <w:pStyle w:val="BodyText"/>
            </w:pPr>
            <w:r w:rsidRPr="00CA056A">
              <w:rPr>
                <w:rStyle w:val="SpecialBold"/>
              </w:rPr>
              <w:t>Release 1</w:t>
            </w:r>
            <w:r w:rsidRPr="00CA056A">
              <w:t>. This is the first release of this unit of competency in the TLI Transport and Logistics Training Package.</w:t>
            </w:r>
          </w:p>
        </w:tc>
      </w:tr>
    </w:tbl>
    <w:p w:rsidR="00000000" w:rsidRPr="00CA056A" w:rsidP="00CA056A">
      <w:pPr>
        <w:pStyle w:val="NoPaddingFontSize1"/>
      </w:pPr>
    </w:p>
    <w:p w:rsidR="00000000" w:rsidRPr="00CA056A" w:rsidP="00CA056A">
      <w:pPr>
        <w:pStyle w:val="AllowPageBreak"/>
      </w:pPr>
    </w:p>
    <w:p w:rsidR="00000000" w:rsidRPr="00CA056A" w:rsidP="00CA056A">
      <w:pPr>
        <w:pStyle w:val="Heading1"/>
      </w:pPr>
      <w:bookmarkStart w:id="2" w:name="O_1091137"/>
      <w:bookmarkEnd w:id="2"/>
      <w:r w:rsidRPr="00CA05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5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6A" w:rsidP="00CA056A">
            <w:pPr>
              <w:pStyle w:val="BodyText"/>
            </w:pPr>
            <w:r w:rsidRPr="00CA056A">
              <w:t>Evidence required to demonstrate competence in this unit must be relevant to and satisfy all of the requir</w:t>
            </w:r>
            <w:r w:rsidRPr="00CA056A">
              <w:t>ements of the elements and performance criteria on at least two separate occasions and in two separate locations and include:</w:t>
            </w:r>
          </w:p>
          <w:p w:rsidR="00000000" w:rsidRPr="00CA056A" w:rsidP="00CA056A">
            <w:pPr>
              <w:pStyle w:val="ListBullet"/>
            </w:pPr>
            <w:r w:rsidRPr="00CA056A">
              <w:t>applying relevant safeworking and workplace procedures</w:t>
            </w:r>
          </w:p>
          <w:p w:rsidR="00000000" w:rsidRPr="00CA056A" w:rsidP="00CA056A">
            <w:pPr>
              <w:pStyle w:val="ListBullet"/>
            </w:pPr>
            <w:r w:rsidRPr="00CA056A">
              <w:t>carrying out pre-shunting checks in accordance with workplace procedures</w:t>
            </w:r>
          </w:p>
          <w:p w:rsidR="00000000" w:rsidRPr="00CA056A" w:rsidP="00CA056A">
            <w:pPr>
              <w:pStyle w:val="ListBullet"/>
            </w:pPr>
            <w:r w:rsidRPr="00CA056A">
              <w:t>c</w:t>
            </w:r>
            <w:r w:rsidRPr="00CA056A">
              <w:t>ommunicating effectively with others</w:t>
            </w:r>
          </w:p>
          <w:p w:rsidR="00000000" w:rsidRPr="00CA056A" w:rsidP="00CA056A">
            <w:pPr>
              <w:pStyle w:val="ListBullet"/>
            </w:pPr>
            <w:r w:rsidRPr="00CA056A">
              <w:t>identifying job hazards and taking required action to minimise, control or eliminate identified hazards</w:t>
            </w:r>
          </w:p>
          <w:p w:rsidR="00000000" w:rsidRPr="00CA056A" w:rsidP="00CA056A">
            <w:pPr>
              <w:pStyle w:val="ListBullet"/>
            </w:pPr>
            <w:r w:rsidRPr="00CA056A">
              <w:t>implementing contingency plans</w:t>
            </w:r>
          </w:p>
          <w:p w:rsidR="00000000" w:rsidRPr="00CA056A" w:rsidP="00CA056A">
            <w:pPr>
              <w:pStyle w:val="ListBullet"/>
            </w:pPr>
            <w:r w:rsidRPr="00CA056A">
              <w:t>interpreting and following operational instructions and prioritising work</w:t>
            </w:r>
          </w:p>
          <w:p w:rsidR="00000000" w:rsidRPr="00CA056A" w:rsidP="00CA056A">
            <w:pPr>
              <w:pStyle w:val="ListBullet"/>
            </w:pPr>
            <w:r w:rsidRPr="00CA056A">
              <w:t xml:space="preserve">modifying </w:t>
            </w:r>
            <w:r w:rsidRPr="00CA056A">
              <w:t>activities depending on operational contingencies, risk situations and environments</w:t>
            </w:r>
          </w:p>
          <w:p w:rsidR="00000000" w:rsidRPr="00CA056A" w:rsidP="00CA056A">
            <w:pPr>
              <w:pStyle w:val="ListBullet"/>
            </w:pPr>
            <w:r w:rsidRPr="00CA056A">
              <w:t>monitoring work activities in terms of planned schedule</w:t>
            </w:r>
          </w:p>
          <w:p w:rsidR="00000000" w:rsidRPr="00CA056A" w:rsidP="00CA056A">
            <w:pPr>
              <w:pStyle w:val="ListBullet"/>
            </w:pPr>
            <w:r w:rsidRPr="00CA056A">
              <w:t>reading and interpreting relevant instructions, procedures, information and signs</w:t>
            </w:r>
          </w:p>
          <w:p w:rsidR="00000000" w:rsidRPr="00CA056A" w:rsidP="00CA056A">
            <w:pPr>
              <w:pStyle w:val="ListBullet"/>
            </w:pPr>
            <w:r w:rsidRPr="00CA056A">
              <w:t>reporting and/or rectifying identified problems, faults or malfunctions defects promptly, in accordance with workplace procedures</w:t>
            </w:r>
          </w:p>
          <w:p w:rsidR="00000000" w:rsidRPr="00CA056A" w:rsidP="00CA056A">
            <w:pPr>
              <w:pStyle w:val="ListBullet"/>
            </w:pPr>
            <w:r w:rsidRPr="00CA056A">
              <w:t>shunting trains in more than one location including sidings and depots/yards</w:t>
            </w:r>
          </w:p>
          <w:p w:rsidR="00000000" w:rsidRPr="00CA056A" w:rsidP="00CA056A">
            <w:pPr>
              <w:pStyle w:val="ListBullet"/>
            </w:pPr>
            <w:r w:rsidRPr="00CA056A">
              <w:t>working collaboratively with others</w:t>
            </w:r>
          </w:p>
          <w:p w:rsidR="00000000" w:rsidRPr="00CA056A" w:rsidP="00CA056A">
            <w:pPr>
              <w:pStyle w:val="ListBullet"/>
            </w:pPr>
            <w:r w:rsidRPr="00CA056A">
              <w:t>working syste</w:t>
            </w:r>
            <w:r w:rsidRPr="00CA056A">
              <w:t>matically with required attention to detail without injury to self or others, or damage to goods or equipment.</w:t>
            </w:r>
          </w:p>
        </w:tc>
      </w:tr>
    </w:tbl>
    <w:p w:rsidR="00000000" w:rsidRPr="00CA056A" w:rsidP="00CA056A">
      <w:pPr>
        <w:pStyle w:val="NoPaddingFontSize1"/>
      </w:pPr>
    </w:p>
    <w:p w:rsidR="00000000" w:rsidRPr="00CA056A" w:rsidP="00CA056A">
      <w:pPr>
        <w:pStyle w:val="AllowPageBreak"/>
      </w:pPr>
    </w:p>
    <w:p w:rsidR="00000000" w:rsidRPr="00CA056A" w:rsidP="00CA056A">
      <w:pPr>
        <w:pStyle w:val="Heading1"/>
      </w:pPr>
      <w:bookmarkStart w:id="3" w:name="O_1091138"/>
      <w:bookmarkEnd w:id="3"/>
      <w:r w:rsidRPr="00CA05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5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6A" w:rsidP="00CA056A">
            <w:pPr>
              <w:pStyle w:val="BodyText"/>
            </w:pPr>
            <w:r w:rsidRPr="00CA056A">
              <w:t>Evidence required to demonstrate competence in this unit must be relevant to and satisfy all of the requi</w:t>
            </w:r>
            <w:r w:rsidRPr="00CA056A">
              <w:t>rements of the elements and performance criteria and include knowledge of:</w:t>
            </w:r>
          </w:p>
          <w:p w:rsidR="00000000" w:rsidRPr="00CA056A" w:rsidP="00CA056A">
            <w:pPr>
              <w:pStyle w:val="ListBullet"/>
            </w:pPr>
            <w:r w:rsidRPr="00CA056A">
              <w:t>communications protocols</w:t>
            </w:r>
          </w:p>
          <w:p w:rsidR="00000000" w:rsidRPr="00CA056A" w:rsidP="00CA056A">
            <w:pPr>
              <w:pStyle w:val="ListBullet"/>
            </w:pPr>
            <w:r w:rsidRPr="00CA056A">
              <w:t>coupling systems, their components and their operation</w:t>
            </w:r>
          </w:p>
          <w:p w:rsidR="00000000" w:rsidRPr="00CA056A" w:rsidP="00CA056A">
            <w:pPr>
              <w:pStyle w:val="ListBullet"/>
            </w:pPr>
            <w:r w:rsidRPr="00CA056A">
              <w:t>diagnostic techniques relating to shunting, coupling and uncoupling electric passenger trains</w:t>
            </w:r>
          </w:p>
          <w:p w:rsidR="00000000" w:rsidRPr="00CA056A" w:rsidP="00CA056A">
            <w:pPr>
              <w:pStyle w:val="ListBullet"/>
            </w:pPr>
            <w:r w:rsidRPr="00CA056A">
              <w:t>emerge</w:t>
            </w:r>
            <w:r w:rsidRPr="00CA056A">
              <w:t>ncy procedures</w:t>
            </w:r>
          </w:p>
          <w:p w:rsidR="00000000" w:rsidRPr="00CA056A" w:rsidP="00CA056A">
            <w:pPr>
              <w:pStyle w:val="ListBullet"/>
            </w:pPr>
            <w:r w:rsidRPr="00CA056A">
              <w:t>relevant rail danger zones</w:t>
            </w:r>
          </w:p>
          <w:p w:rsidR="00000000" w:rsidRPr="00CA056A" w:rsidP="00CA056A">
            <w:pPr>
              <w:pStyle w:val="ListBullet"/>
            </w:pPr>
            <w:r w:rsidRPr="00CA056A">
              <w:t xml:space="preserve">relevant sections of applicable state/territory legislated rail safety and safeworking </w:t>
            </w:r>
            <w:r w:rsidRPr="00CA056A">
              <w:t>requirements, codes of practice and/or guidelines</w:t>
            </w:r>
          </w:p>
          <w:p w:rsidR="00000000" w:rsidRPr="00CA056A" w:rsidP="00CA056A">
            <w:pPr>
              <w:pStyle w:val="ListBullet"/>
            </w:pPr>
            <w:r w:rsidRPr="00CA056A">
              <w:t xml:space="preserve">relevant work health and safety </w:t>
            </w:r>
            <w:r w:rsidRPr="00CA056A">
              <w:t>(WHS)/occupational health and safety (OHS) and environmental procedures and regulations including codes of practice for manual handling</w:t>
            </w:r>
          </w:p>
          <w:p w:rsidR="00000000" w:rsidRPr="00CA056A" w:rsidP="00CA056A">
            <w:pPr>
              <w:pStyle w:val="ListBullet"/>
            </w:pPr>
            <w:r w:rsidRPr="00CA056A">
              <w:t>shunting workplace procedures and requirements</w:t>
            </w:r>
          </w:p>
          <w:p w:rsidR="00000000" w:rsidRPr="00CA056A" w:rsidP="00CA056A">
            <w:pPr>
              <w:pStyle w:val="ListBullet"/>
            </w:pPr>
            <w:r w:rsidRPr="00CA056A">
              <w:t>types of couplers and their purpose</w:t>
            </w:r>
          </w:p>
          <w:p w:rsidR="00000000" w:rsidRPr="00CA056A" w:rsidP="00CA056A">
            <w:pPr>
              <w:pStyle w:val="ListBullet"/>
            </w:pPr>
            <w:r w:rsidRPr="00CA056A">
              <w:t xml:space="preserve">types of coupling adaptors and their </w:t>
            </w:r>
            <w:r w:rsidRPr="00CA056A">
              <w:t>purpose.</w:t>
            </w:r>
          </w:p>
        </w:tc>
      </w:tr>
    </w:tbl>
    <w:p w:rsidR="00000000" w:rsidRPr="00CA056A" w:rsidP="00CA056A">
      <w:pPr>
        <w:pStyle w:val="NoPaddingFontSize1"/>
      </w:pPr>
    </w:p>
    <w:p w:rsidR="00000000" w:rsidRPr="00CA056A" w:rsidP="00CA056A">
      <w:pPr>
        <w:pStyle w:val="AllowPageBreak"/>
      </w:pPr>
    </w:p>
    <w:p w:rsidR="00000000" w:rsidRPr="00CA056A" w:rsidP="00CA056A">
      <w:pPr>
        <w:pStyle w:val="Heading1"/>
      </w:pPr>
      <w:bookmarkStart w:id="4" w:name="O_1091139"/>
      <w:bookmarkEnd w:id="4"/>
      <w:r w:rsidRPr="00CA05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5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6A" w:rsidP="00CA056A">
            <w:pPr>
              <w:pStyle w:val="BodyText"/>
            </w:pPr>
            <w:r w:rsidRPr="00CA056A">
              <w:t xml:space="preserve">Assessors must hold credentials specified within the Standards for Registered Training Organisations current at the time of assessment. </w:t>
            </w:r>
          </w:p>
          <w:p w:rsidR="00000000" w:rsidRPr="00CA056A" w:rsidP="00CA056A">
            <w:pPr>
              <w:pStyle w:val="BodyText"/>
            </w:pPr>
            <w:r w:rsidRPr="00CA056A">
              <w:t>Assessment must satisfy the Principles of Assessment and Rules of E</w:t>
            </w:r>
            <w:r w:rsidRPr="00CA056A">
              <w:t>vidence and all regulatory requirements included within the Standards for Registered Training Organisations current at the time of assessment.</w:t>
            </w:r>
          </w:p>
          <w:p w:rsidR="00000000" w:rsidRPr="00CA056A" w:rsidP="00CA056A">
            <w:pPr>
              <w:pStyle w:val="BodyText"/>
            </w:pPr>
            <w:r w:rsidRPr="00CA056A">
              <w:t>Assessment must occur in workplace operational situations or, where this is not available, in simulated workplace</w:t>
            </w:r>
            <w:r w:rsidRPr="00CA056A">
              <w:t xml:space="preserve"> operational situations that replicate rail corridor workplace conditions.</w:t>
            </w:r>
          </w:p>
          <w:p w:rsidR="00000000" w:rsidRPr="00CA056A" w:rsidP="00CA056A">
            <w:pPr>
              <w:pStyle w:val="BodyText"/>
            </w:pPr>
            <w:r w:rsidRPr="00CA056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A056A" w:rsidP="00CA056A">
            <w:pPr>
              <w:pStyle w:val="BodyText"/>
            </w:pPr>
            <w:r w:rsidRPr="00CA056A">
              <w:t>Resources for</w:t>
            </w:r>
            <w:r w:rsidRPr="00CA056A">
              <w:t xml:space="preserve"> assessment must include:</w:t>
            </w:r>
          </w:p>
          <w:p w:rsidR="00000000" w:rsidRPr="00CA056A" w:rsidP="00CA056A">
            <w:pPr>
              <w:pStyle w:val="ListBullet"/>
            </w:pPr>
            <w:r w:rsidRPr="00CA056A">
              <w:t>a range of relevant exercises, case studies and/or simulations</w:t>
            </w:r>
          </w:p>
          <w:p w:rsidR="00000000" w:rsidRPr="00CA056A" w:rsidP="00CA056A">
            <w:pPr>
              <w:pStyle w:val="ListBullet"/>
            </w:pPr>
            <w:r w:rsidRPr="00CA056A">
              <w:t>relevant and appropriate materials, tools, equipment and personal protective equipment (PPE) currently used in industry</w:t>
            </w:r>
          </w:p>
          <w:p w:rsidR="00000000" w:rsidRPr="00CA056A" w:rsidP="00CA056A">
            <w:pPr>
              <w:pStyle w:val="ListBullet"/>
            </w:pPr>
            <w:r w:rsidRPr="00CA056A">
              <w:t>applicable documentation, including workplace procedures, regulations, safeworking system, codes of practice and operation manuals.</w:t>
            </w:r>
          </w:p>
        </w:tc>
      </w:tr>
    </w:tbl>
    <w:p w:rsidR="00000000" w:rsidRPr="00CA056A" w:rsidP="00CA056A">
      <w:pPr>
        <w:pStyle w:val="NoPaddingFontSize1"/>
      </w:pPr>
    </w:p>
    <w:p w:rsidR="00000000" w:rsidRPr="00CA056A" w:rsidP="00CA056A">
      <w:pPr>
        <w:pStyle w:val="AllowPageBreak"/>
      </w:pPr>
    </w:p>
    <w:p w:rsidR="00000000" w:rsidRPr="00CA056A" w:rsidP="00CA056A">
      <w:pPr>
        <w:pStyle w:val="Heading1"/>
      </w:pPr>
      <w:bookmarkStart w:id="5" w:name="O_1091142"/>
      <w:bookmarkEnd w:id="5"/>
      <w:r w:rsidRPr="00CA056A">
        <w:t>Links</w:t>
      </w:r>
    </w:p>
    <w:p w:rsidR="00000000" w:rsidRPr="00CA056A" w:rsidP="0043057A">
      <w:pPr>
        <w:pStyle w:val="BodyText"/>
      </w:pPr>
      <w:r w:rsidRPr="00CA05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430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056A" w:rsidP="00CA056A"/>
    <w:sectPr w:rsidSect="00CA0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6A" w:rsidRPr="0043057A" w:rsidP="00430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7A" w:rsidP="00CA0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57A" w:rsidP="00CA0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3057A" w:rsidP="00CA0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56A" w:rsidRPr="0043057A" w:rsidP="00430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57A" w:rsidRPr="002D2AF8" w:rsidP="00CA0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TLIC0008 Assist with shunting, coupling and uncoupling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3057A" w:rsidP="00CA0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E21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242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56A"/>
  </w:style>
  <w:style w:type="character" w:customStyle="1" w:styleId="Heading1Char">
    <w:name w:val="Heading 1 Char"/>
    <w:basedOn w:val="DefaultParagraphFont"/>
    <w:link w:val="Heading1"/>
    <w:rsid w:val="00CA0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5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56A"/>
    <w:rPr>
      <w:b/>
      <w:spacing w:val="0"/>
    </w:rPr>
  </w:style>
  <w:style w:type="paragraph" w:customStyle="1" w:styleId="SuperHeading">
    <w:name w:val="SuperHeading"/>
    <w:basedOn w:val="Normal"/>
    <w:rsid w:val="00CA0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0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56A"/>
    <w:rPr>
      <w:i/>
    </w:rPr>
  </w:style>
  <w:style w:type="paragraph" w:styleId="Caption">
    <w:name w:val="caption"/>
    <w:basedOn w:val="BodyText"/>
    <w:next w:val="Normal"/>
    <w:qFormat/>
    <w:rsid w:val="00CA0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56A"/>
  </w:style>
  <w:style w:type="paragraph" w:styleId="TableofFigures">
    <w:name w:val="table of figures"/>
    <w:basedOn w:val="Normal"/>
    <w:next w:val="Normal"/>
    <w:semiHidden/>
    <w:rsid w:val="00CA0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056A"/>
    <w:rPr>
      <w:rFonts w:ascii="Wingdings" w:hAnsi="Wingdings"/>
    </w:rPr>
  </w:style>
  <w:style w:type="paragraph" w:customStyle="1" w:styleId="TableHeading">
    <w:name w:val="Table Heading"/>
    <w:basedOn w:val="HeadingBase"/>
    <w:rsid w:val="00CA0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56A"/>
    <w:rPr>
      <w:color w:val="0033CC"/>
      <w:u w:val="none"/>
    </w:rPr>
  </w:style>
  <w:style w:type="paragraph" w:customStyle="1" w:styleId="BodyTextRight">
    <w:name w:val="Body Text Right"/>
    <w:basedOn w:val="BodyText"/>
    <w:rsid w:val="00CA0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56A"/>
    <w:rPr>
      <w:sz w:val="32"/>
    </w:rPr>
  </w:style>
  <w:style w:type="paragraph" w:customStyle="1" w:styleId="HeadingProcedure">
    <w:name w:val="Heading Procedure"/>
    <w:basedOn w:val="HeadingBase"/>
    <w:next w:val="Normal"/>
    <w:rsid w:val="00CA0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56A"/>
    <w:pPr>
      <w:spacing w:before="60" w:after="60"/>
    </w:pPr>
  </w:style>
  <w:style w:type="paragraph" w:styleId="ListContinue">
    <w:name w:val="List Continue"/>
    <w:basedOn w:val="List"/>
    <w:rsid w:val="00CA056A"/>
    <w:pPr>
      <w:ind w:firstLine="0"/>
    </w:pPr>
  </w:style>
  <w:style w:type="paragraph" w:customStyle="1" w:styleId="ListNote">
    <w:name w:val="List Note"/>
    <w:basedOn w:val="List"/>
    <w:rsid w:val="00CA0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56A"/>
    <w:rPr>
      <w:rFonts w:ascii="Courier New" w:hAnsi="Courier New"/>
    </w:rPr>
  </w:style>
  <w:style w:type="paragraph" w:customStyle="1" w:styleId="NoteBullet">
    <w:name w:val="Note Bullet"/>
    <w:basedOn w:val="Note"/>
    <w:rsid w:val="00CA0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0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56A"/>
    <w:rPr>
      <w:b/>
      <w:smallCaps/>
    </w:rPr>
  </w:style>
  <w:style w:type="paragraph" w:customStyle="1" w:styleId="TableListNumber">
    <w:name w:val="Table List Number"/>
    <w:basedOn w:val="ListNumber"/>
    <w:rsid w:val="00CA0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56A"/>
    <w:pPr>
      <w:numPr>
        <w:numId w:val="8"/>
      </w:numPr>
    </w:pPr>
  </w:style>
  <w:style w:type="paragraph" w:customStyle="1" w:styleId="ListAlpha2">
    <w:name w:val="List Alpha 2"/>
    <w:basedOn w:val="List2"/>
    <w:rsid w:val="00CA056A"/>
    <w:pPr>
      <w:numPr>
        <w:numId w:val="7"/>
      </w:numPr>
    </w:pPr>
  </w:style>
  <w:style w:type="paragraph" w:styleId="List2">
    <w:name w:val="List 2"/>
    <w:basedOn w:val="BodyText"/>
    <w:rsid w:val="00CA0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056A"/>
    <w:pPr>
      <w:numPr>
        <w:numId w:val="3"/>
      </w:numPr>
    </w:pPr>
  </w:style>
  <w:style w:type="paragraph" w:styleId="ListContinue2">
    <w:name w:val="List Continue 2"/>
    <w:basedOn w:val="List2"/>
    <w:rsid w:val="00CA056A"/>
    <w:pPr>
      <w:ind w:firstLine="0"/>
    </w:pPr>
  </w:style>
  <w:style w:type="paragraph" w:styleId="ListContinue3">
    <w:name w:val="List Continue 3"/>
    <w:basedOn w:val="List3"/>
    <w:rsid w:val="00CA056A"/>
    <w:pPr>
      <w:ind w:left="1021" w:firstLine="0"/>
    </w:pPr>
  </w:style>
  <w:style w:type="paragraph" w:styleId="ListContinue4">
    <w:name w:val="List Continue 4"/>
    <w:basedOn w:val="List4"/>
    <w:rsid w:val="00CA056A"/>
    <w:pPr>
      <w:ind w:firstLine="0"/>
    </w:pPr>
  </w:style>
  <w:style w:type="paragraph" w:styleId="ListContinue5">
    <w:name w:val="List Continue 5"/>
    <w:basedOn w:val="List5"/>
    <w:rsid w:val="00CA056A"/>
    <w:pPr>
      <w:ind w:firstLine="0"/>
    </w:pPr>
  </w:style>
  <w:style w:type="paragraph" w:styleId="ListNumber3">
    <w:name w:val="List Number 3"/>
    <w:basedOn w:val="List3"/>
    <w:rsid w:val="00CA056A"/>
    <w:pPr>
      <w:numPr>
        <w:numId w:val="4"/>
      </w:numPr>
    </w:pPr>
  </w:style>
  <w:style w:type="paragraph" w:styleId="ListNumber4">
    <w:name w:val="List Number 4"/>
    <w:basedOn w:val="List4"/>
    <w:rsid w:val="00CA056A"/>
    <w:pPr>
      <w:numPr>
        <w:numId w:val="5"/>
      </w:numPr>
    </w:pPr>
  </w:style>
  <w:style w:type="paragraph" w:styleId="ListNumber5">
    <w:name w:val="List Number 5"/>
    <w:basedOn w:val="List5"/>
    <w:rsid w:val="00CA056A"/>
    <w:pPr>
      <w:numPr>
        <w:numId w:val="6"/>
      </w:numPr>
    </w:pPr>
  </w:style>
  <w:style w:type="paragraph" w:styleId="BlockText">
    <w:name w:val="Block Text"/>
    <w:basedOn w:val="Normal"/>
    <w:rsid w:val="00CA0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56A"/>
    <w:rPr>
      <w:sz w:val="16"/>
      <w:vertAlign w:val="superscript"/>
    </w:rPr>
  </w:style>
  <w:style w:type="character" w:customStyle="1" w:styleId="Symbols">
    <w:name w:val="Symbols"/>
    <w:basedOn w:val="DefaultParagraphFont"/>
    <w:rsid w:val="00CA056A"/>
    <w:rPr>
      <w:rFonts w:ascii="Symbol" w:hAnsi="Symbol"/>
    </w:rPr>
  </w:style>
  <w:style w:type="character" w:customStyle="1" w:styleId="MenuOptions">
    <w:name w:val="Menu Options"/>
    <w:basedOn w:val="DefaultParagraphFont"/>
    <w:rsid w:val="00CA0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56A"/>
    <w:rPr>
      <w:b/>
    </w:rPr>
  </w:style>
  <w:style w:type="character" w:customStyle="1" w:styleId="Underlined">
    <w:name w:val="Underlined"/>
    <w:basedOn w:val="DefaultParagraphFont"/>
    <w:rsid w:val="00CA056A"/>
    <w:rPr>
      <w:u w:val="single"/>
    </w:rPr>
  </w:style>
  <w:style w:type="paragraph" w:customStyle="1" w:styleId="TableBodyTextRight">
    <w:name w:val="Table Body Text Right"/>
    <w:basedOn w:val="TableBodyText"/>
    <w:rsid w:val="00CA0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56A"/>
    <w:rPr>
      <w:sz w:val="18"/>
    </w:rPr>
  </w:style>
  <w:style w:type="paragraph" w:customStyle="1" w:styleId="BodySmallRight">
    <w:name w:val="Body Small Right"/>
    <w:basedOn w:val="BodyTextRight"/>
    <w:rsid w:val="00CA056A"/>
    <w:rPr>
      <w:sz w:val="18"/>
      <w:szCs w:val="18"/>
    </w:rPr>
  </w:style>
  <w:style w:type="paragraph" w:customStyle="1" w:styleId="MarginEdition">
    <w:name w:val="Margin Edition"/>
    <w:basedOn w:val="MarginNote"/>
    <w:rsid w:val="00CA0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56A"/>
    <w:rPr>
      <w:sz w:val="2"/>
      <w:szCs w:val="2"/>
    </w:rPr>
  </w:style>
  <w:style w:type="character" w:customStyle="1" w:styleId="Small">
    <w:name w:val="Small"/>
    <w:basedOn w:val="DefaultParagraphFont"/>
    <w:rsid w:val="00CA056A"/>
    <w:rPr>
      <w:sz w:val="16"/>
    </w:rPr>
  </w:style>
  <w:style w:type="paragraph" w:customStyle="1" w:styleId="WideTable">
    <w:name w:val="Wide Table"/>
    <w:basedOn w:val="Normal"/>
    <w:rsid w:val="00CA0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56A"/>
  </w:style>
  <w:style w:type="paragraph" w:styleId="Quote">
    <w:name w:val="Quote"/>
    <w:basedOn w:val="Heading1"/>
    <w:link w:val="QuoteChar"/>
    <w:qFormat/>
    <w:rsid w:val="00CA0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56A"/>
    <w:pPr>
      <w:pageBreakBefore/>
    </w:pPr>
  </w:style>
  <w:style w:type="paragraph" w:customStyle="1" w:styleId="Border">
    <w:name w:val="Border"/>
    <w:basedOn w:val="Normal"/>
    <w:qFormat/>
    <w:rsid w:val="00CA0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56A"/>
    <w:rPr>
      <w:u w:val="single"/>
    </w:rPr>
  </w:style>
  <w:style w:type="character" w:customStyle="1" w:styleId="BoldandItalics">
    <w:name w:val="Bold and Italics"/>
    <w:qFormat/>
    <w:rsid w:val="00CA056A"/>
    <w:rPr>
      <w:b/>
      <w:i/>
      <w:u w:val="none"/>
    </w:rPr>
  </w:style>
  <w:style w:type="paragraph" w:styleId="BalloonText">
    <w:name w:val="Balloon Text"/>
    <w:basedOn w:val="Normal"/>
    <w:link w:val="BalloonTextChar"/>
    <w:rsid w:val="00CA0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56A"/>
    <w:pPr>
      <w:spacing w:before="0" w:after="0"/>
    </w:pPr>
  </w:style>
  <w:style w:type="paragraph" w:customStyle="1" w:styleId="BodyTextBold">
    <w:name w:val="Body Text Bold"/>
    <w:basedOn w:val="BodyText"/>
    <w:qFormat/>
    <w:rsid w:val="00CA056A"/>
    <w:rPr>
      <w:b/>
    </w:rPr>
  </w:style>
  <w:style w:type="character" w:styleId="Hyperlink">
    <w:name w:val="Hyperlink"/>
    <w:basedOn w:val="DefaultParagraphFont"/>
    <w:uiPriority w:val="99"/>
    <w:unhideWhenUsed/>
    <w:rsid w:val="00430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3370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TLIC0008 Assist with shunting, coupling and uncoupling electric passenger trains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