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C20" w:rsidP="00CC7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TLIC0005 Close down rail traffic from autonomous operations</w:t>
      </w:r>
      <w:r>
        <w:fldChar w:fldCharType="end"/>
      </w:r>
    </w:p>
    <w:p w:rsidR="00CC7C20" w:rsidP="00CC7C20">
      <w:pPr>
        <w:pStyle w:val="Version"/>
        <w:sectPr w:rsidSect="00CB6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5B5" w:rsidP="00CB65B5">
      <w:pPr>
        <w:pStyle w:val="SuperHeading"/>
      </w:pPr>
      <w:r w:rsidRPr="00CB65B5">
        <w:t>TLIC0005 Close down rail traffic from autonomous operations</w:t>
      </w:r>
    </w:p>
    <w:p w:rsidR="00000000" w:rsidRPr="00CB65B5" w:rsidP="00CB65B5">
      <w:pPr>
        <w:pStyle w:val="Heading1"/>
      </w:pPr>
      <w:bookmarkStart w:id="1" w:name="O_1066063"/>
      <w:bookmarkEnd w:id="1"/>
      <w:r w:rsidRPr="00CB65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 xml:space="preserve">Release 1. </w:t>
            </w:r>
            <w:r w:rsidRPr="00CB65B5">
              <w:t>This is the first release of this unit of competency in the TLI Transport and Logistics Training Package.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2" w:name="O_1066064"/>
      <w:bookmarkEnd w:id="2"/>
      <w:r w:rsidRPr="00CB65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>This unit involves the skills and knowledge required to end the aut</w:t>
            </w:r>
            <w:r w:rsidRPr="00CB65B5">
              <w:t>onomous operation of rail traffic.</w:t>
            </w:r>
          </w:p>
          <w:p w:rsidR="00000000" w:rsidRPr="00CB65B5" w:rsidP="00CB65B5">
            <w:pPr>
              <w:pStyle w:val="BodyText"/>
            </w:pPr>
            <w:r w:rsidRPr="00CB65B5">
              <w:t>It includes identifying rail traffic operating autonomously, ending autonomous rail traffic mission, and monitoring and reporting autonomous rail traffic status.</w:t>
            </w:r>
          </w:p>
          <w:p w:rsidR="00000000" w:rsidRPr="00CB65B5" w:rsidP="00CB65B5">
            <w:pPr>
              <w:pStyle w:val="BodyText"/>
            </w:pPr>
            <w:r w:rsidRPr="00CB65B5">
              <w:t>This unit defines rail traffic as a train.</w:t>
            </w:r>
          </w:p>
          <w:p w:rsidR="00000000" w:rsidRPr="00CB65B5" w:rsidP="00CB65B5">
            <w:pPr>
              <w:pStyle w:val="BodyText"/>
            </w:pPr>
            <w:r w:rsidRPr="00CB65B5">
              <w:t>People achieving</w:t>
            </w:r>
            <w:r w:rsidRPr="00CB65B5">
              <w:t xml:space="preserve"> competence in this unit will need to fulfil the applicable state/territory legislated rail safety requirements and to comply with relevant codes of practice and/or guidelines.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3" w:name="O_1066065"/>
      <w:bookmarkEnd w:id="3"/>
      <w:r w:rsidRPr="00CB65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>Not applicable.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4" w:name="O_1066066"/>
      <w:bookmarkEnd w:id="4"/>
      <w:r w:rsidRPr="00CB65B5">
        <w:t>Co</w:t>
      </w:r>
      <w:r w:rsidRPr="00CB65B5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>C - Vehicle Operation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5" w:name="O_1066067"/>
      <w:bookmarkEnd w:id="5"/>
      <w:r w:rsidRPr="00CB65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>Rail Sector.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6" w:name="O_1066068"/>
      <w:bookmarkEnd w:id="6"/>
      <w:r w:rsidRPr="00CB65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PERFORMANCE CRITERIA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Performance criteria describe the performance needed to demonstrate achievement of the element.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>Verify rail traffic that requires autonomous operation to be ended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 xml:space="preserve">Rail traffic mission is identified 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 xml:space="preserve">Autonomous rail traffic location is verified 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Hazards are identified, risks assessed and control measures implemented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Rail traffic is accessed in accordance with workplace procedures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>Ending autonomous rail traffic 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Autonomous rail traffic end of mission is determined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Functions of equipment, component parts and accessories are identified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Applications for autonomous activities of different infotechnology equipment and systems are interpreted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Autonomous rail traffic system is disengaged and placed into passive state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Safety critical communication is undertaken with network control officer or relevant person to validate autonomous rail traffic data in accordance with workplace procedures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Situational awareness is applied through effective visual scans, use of communication systems, use of rail traffic information and use of system of safeworking in accordance with workplace procedures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Routine faults in operating systems, softwa</w:t>
            </w:r>
            <w:r w:rsidRPr="00CB65B5">
              <w:t>re applications and operator errors are identified and reported in accordance with workplace procedures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>Rail traffic is secured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rPr>
                <w:rStyle w:val="SpecialBold"/>
              </w:rPr>
              <w:t>Monitor and report autonomous rail</w:t>
            </w:r>
            <w:r w:rsidRPr="00CB65B5">
              <w:t xml:space="preserve"> </w:t>
            </w:r>
            <w:r w:rsidRPr="00CB65B5">
              <w:rPr>
                <w:rStyle w:val="SpecialBold"/>
              </w:rPr>
              <w:t>traffic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 xml:space="preserve">Status of rail traffic operation is communicated in accordance with workplace protocols 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t xml:space="preserve">Effective communication is maintained with relevant personnel </w:t>
            </w:r>
          </w:p>
        </w:tc>
      </w:tr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5B5">
            <w:pPr>
              <w:pStyle w:val="BodyText"/>
              <w:rPr>
                <w:lang w:val="en-NZ"/>
              </w:rPr>
            </w:pPr>
            <w:r w:rsidRPr="00CB65B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>Records are updated in accordance with workplace procedures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7" w:name="O_1066069"/>
      <w:bookmarkEnd w:id="7"/>
      <w:r w:rsidRPr="00CB65B5">
        <w:t>Foundatio</w:t>
      </w:r>
      <w:r w:rsidRPr="00CB65B5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 xml:space="preserve">Foundation skills essential to performance are explicit in the performance criteria of this unit of </w:t>
            </w:r>
            <w:r w:rsidRPr="00CB65B5">
              <w:t>competency.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8" w:name="O_1066070"/>
      <w:bookmarkEnd w:id="8"/>
      <w:r w:rsidRPr="00CB65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>Range is restricted to essential operating conditions and any other variables essential to the work environment.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9" w:name="O_1066071"/>
      <w:bookmarkEnd w:id="9"/>
      <w:r w:rsidRPr="00CB65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6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5B5" w:rsidP="00CB65B5">
            <w:pPr>
              <w:pStyle w:val="BodyText"/>
            </w:pPr>
            <w:r w:rsidRPr="00CB65B5">
              <w:t>This is a new unit. No equivalent unit.</w:t>
            </w:r>
          </w:p>
        </w:tc>
      </w:tr>
    </w:tbl>
    <w:p w:rsidR="00000000" w:rsidRPr="00CB65B5" w:rsidP="00CB65B5">
      <w:pPr>
        <w:pStyle w:val="NoPaddingFontSize1"/>
      </w:pPr>
    </w:p>
    <w:p w:rsidR="00000000" w:rsidRPr="00CB65B5" w:rsidP="00CB65B5">
      <w:pPr>
        <w:pStyle w:val="AllowPageBreak"/>
      </w:pPr>
    </w:p>
    <w:p w:rsidR="00000000" w:rsidRPr="00CB65B5" w:rsidP="00CB65B5">
      <w:pPr>
        <w:pStyle w:val="Heading1"/>
      </w:pPr>
      <w:bookmarkStart w:id="10" w:name="O_1066078"/>
      <w:bookmarkEnd w:id="10"/>
      <w:r w:rsidRPr="00CB65B5">
        <w:t>Links</w:t>
      </w:r>
    </w:p>
    <w:p w:rsidR="00000000" w:rsidRPr="00CB65B5" w:rsidP="00CC7C20">
      <w:pPr>
        <w:pStyle w:val="BodyText"/>
      </w:pPr>
      <w:r w:rsidRPr="00CB65B5">
        <w:t>Companion Volume Implementatio</w:t>
      </w:r>
      <w:r w:rsidRPr="00CB65B5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03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65B5" w:rsidP="00CB65B5"/>
    <w:sectPr w:rsidSect="00CB6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B5" w:rsidRPr="00CC7C20" w:rsidP="00CC7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20" w:rsidP="00CB6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C20" w:rsidP="00CB6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C7C20" w:rsidP="00CB6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5B5" w:rsidRPr="00CC7C20" w:rsidP="00CC7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20" w:rsidRPr="002D2AF8" w:rsidP="00CB6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TLIC0005 Close down rail traffic from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C7C20" w:rsidP="00CB6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5B5"/>
  </w:style>
  <w:style w:type="character" w:customStyle="1" w:styleId="Heading1Char">
    <w:name w:val="Heading 1 Char"/>
    <w:basedOn w:val="DefaultParagraphFont"/>
    <w:link w:val="Heading1"/>
    <w:rsid w:val="00CB6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5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65B5"/>
    <w:rPr>
      <w:b/>
      <w:spacing w:val="0"/>
    </w:rPr>
  </w:style>
  <w:style w:type="paragraph" w:customStyle="1" w:styleId="SuperHeading">
    <w:name w:val="SuperHeading"/>
    <w:basedOn w:val="Normal"/>
    <w:rsid w:val="00CB6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6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5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65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6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5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5B5"/>
    <w:rPr>
      <w:i/>
    </w:rPr>
  </w:style>
  <w:style w:type="paragraph" w:styleId="Caption">
    <w:name w:val="caption"/>
    <w:basedOn w:val="BodyText"/>
    <w:next w:val="Normal"/>
    <w:qFormat/>
    <w:rsid w:val="00CB6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5B5"/>
  </w:style>
  <w:style w:type="paragraph" w:styleId="TableofFigures">
    <w:name w:val="table of figures"/>
    <w:basedOn w:val="Normal"/>
    <w:next w:val="Normal"/>
    <w:semiHidden/>
    <w:rsid w:val="00CB6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5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65B5"/>
    <w:rPr>
      <w:rFonts w:ascii="Wingdings" w:hAnsi="Wingdings"/>
    </w:rPr>
  </w:style>
  <w:style w:type="paragraph" w:customStyle="1" w:styleId="TableHeading">
    <w:name w:val="Table Heading"/>
    <w:basedOn w:val="HeadingBase"/>
    <w:rsid w:val="00CB6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5B5"/>
    <w:rPr>
      <w:color w:val="0033CC"/>
      <w:u w:val="none"/>
    </w:rPr>
  </w:style>
  <w:style w:type="paragraph" w:customStyle="1" w:styleId="BodyTextRight">
    <w:name w:val="Body Text Right"/>
    <w:basedOn w:val="BodyText"/>
    <w:rsid w:val="00CB6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5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5B5"/>
    <w:rPr>
      <w:sz w:val="32"/>
    </w:rPr>
  </w:style>
  <w:style w:type="paragraph" w:customStyle="1" w:styleId="HeadingProcedure">
    <w:name w:val="Heading Procedure"/>
    <w:basedOn w:val="HeadingBase"/>
    <w:next w:val="Normal"/>
    <w:rsid w:val="00CB6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5B5"/>
    <w:pPr>
      <w:spacing w:before="60" w:after="60"/>
    </w:pPr>
  </w:style>
  <w:style w:type="paragraph" w:styleId="ListContinue">
    <w:name w:val="List Continue"/>
    <w:basedOn w:val="List"/>
    <w:rsid w:val="00CB65B5"/>
    <w:pPr>
      <w:ind w:firstLine="0"/>
    </w:pPr>
  </w:style>
  <w:style w:type="paragraph" w:customStyle="1" w:styleId="ListNote">
    <w:name w:val="List Note"/>
    <w:basedOn w:val="List"/>
    <w:rsid w:val="00CB6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5B5"/>
    <w:rPr>
      <w:rFonts w:ascii="Courier New" w:hAnsi="Courier New"/>
    </w:rPr>
  </w:style>
  <w:style w:type="paragraph" w:customStyle="1" w:styleId="NoteBullet">
    <w:name w:val="Note Bullet"/>
    <w:basedOn w:val="Note"/>
    <w:rsid w:val="00CB6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5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6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5B5"/>
    <w:rPr>
      <w:b/>
      <w:smallCaps/>
    </w:rPr>
  </w:style>
  <w:style w:type="paragraph" w:customStyle="1" w:styleId="TableListNumber">
    <w:name w:val="Table List Number"/>
    <w:basedOn w:val="ListNumber"/>
    <w:rsid w:val="00CB6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5B5"/>
    <w:pPr>
      <w:numPr>
        <w:numId w:val="7"/>
      </w:numPr>
    </w:pPr>
  </w:style>
  <w:style w:type="paragraph" w:customStyle="1" w:styleId="ListAlpha2">
    <w:name w:val="List Alpha 2"/>
    <w:basedOn w:val="List2"/>
    <w:rsid w:val="00CB65B5"/>
    <w:pPr>
      <w:numPr>
        <w:numId w:val="6"/>
      </w:numPr>
    </w:pPr>
  </w:style>
  <w:style w:type="paragraph" w:styleId="List2">
    <w:name w:val="List 2"/>
    <w:basedOn w:val="BodyText"/>
    <w:rsid w:val="00CB6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5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5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65B5"/>
    <w:pPr>
      <w:numPr>
        <w:numId w:val="2"/>
      </w:numPr>
    </w:pPr>
  </w:style>
  <w:style w:type="paragraph" w:styleId="ListContinue2">
    <w:name w:val="List Continue 2"/>
    <w:basedOn w:val="List2"/>
    <w:rsid w:val="00CB65B5"/>
    <w:pPr>
      <w:ind w:firstLine="0"/>
    </w:pPr>
  </w:style>
  <w:style w:type="paragraph" w:styleId="ListContinue3">
    <w:name w:val="List Continue 3"/>
    <w:basedOn w:val="List3"/>
    <w:rsid w:val="00CB65B5"/>
    <w:pPr>
      <w:ind w:left="1021" w:firstLine="0"/>
    </w:pPr>
  </w:style>
  <w:style w:type="paragraph" w:styleId="ListContinue4">
    <w:name w:val="List Continue 4"/>
    <w:basedOn w:val="List4"/>
    <w:rsid w:val="00CB65B5"/>
    <w:pPr>
      <w:ind w:firstLine="0"/>
    </w:pPr>
  </w:style>
  <w:style w:type="paragraph" w:styleId="ListContinue5">
    <w:name w:val="List Continue 5"/>
    <w:basedOn w:val="List5"/>
    <w:rsid w:val="00CB65B5"/>
    <w:pPr>
      <w:ind w:firstLine="0"/>
    </w:pPr>
  </w:style>
  <w:style w:type="paragraph" w:styleId="ListNumber3">
    <w:name w:val="List Number 3"/>
    <w:basedOn w:val="List3"/>
    <w:rsid w:val="00CB65B5"/>
    <w:pPr>
      <w:numPr>
        <w:numId w:val="3"/>
      </w:numPr>
    </w:pPr>
  </w:style>
  <w:style w:type="paragraph" w:styleId="ListNumber4">
    <w:name w:val="List Number 4"/>
    <w:basedOn w:val="List4"/>
    <w:rsid w:val="00CB65B5"/>
    <w:pPr>
      <w:numPr>
        <w:numId w:val="4"/>
      </w:numPr>
    </w:pPr>
  </w:style>
  <w:style w:type="paragraph" w:styleId="ListNumber5">
    <w:name w:val="List Number 5"/>
    <w:basedOn w:val="List5"/>
    <w:rsid w:val="00CB65B5"/>
    <w:pPr>
      <w:numPr>
        <w:numId w:val="5"/>
      </w:numPr>
    </w:pPr>
  </w:style>
  <w:style w:type="paragraph" w:styleId="BlockText">
    <w:name w:val="Block Text"/>
    <w:basedOn w:val="Normal"/>
    <w:rsid w:val="00CB6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5B5"/>
    <w:rPr>
      <w:sz w:val="16"/>
      <w:vertAlign w:val="superscript"/>
    </w:rPr>
  </w:style>
  <w:style w:type="character" w:customStyle="1" w:styleId="Symbols">
    <w:name w:val="Symbols"/>
    <w:basedOn w:val="DefaultParagraphFont"/>
    <w:rsid w:val="00CB65B5"/>
    <w:rPr>
      <w:rFonts w:ascii="Symbol" w:hAnsi="Symbol"/>
    </w:rPr>
  </w:style>
  <w:style w:type="character" w:customStyle="1" w:styleId="MenuOptions">
    <w:name w:val="Menu Options"/>
    <w:basedOn w:val="DefaultParagraphFont"/>
    <w:rsid w:val="00CB6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5B5"/>
    <w:rPr>
      <w:b/>
    </w:rPr>
  </w:style>
  <w:style w:type="character" w:customStyle="1" w:styleId="Underlined">
    <w:name w:val="Underlined"/>
    <w:basedOn w:val="DefaultParagraphFont"/>
    <w:rsid w:val="00CB65B5"/>
    <w:rPr>
      <w:u w:val="single"/>
    </w:rPr>
  </w:style>
  <w:style w:type="paragraph" w:customStyle="1" w:styleId="TableBodyTextRight">
    <w:name w:val="Table Body Text Right"/>
    <w:basedOn w:val="TableBodyText"/>
    <w:rsid w:val="00CB6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5B5"/>
    <w:rPr>
      <w:sz w:val="18"/>
    </w:rPr>
  </w:style>
  <w:style w:type="paragraph" w:customStyle="1" w:styleId="BodySmallRight">
    <w:name w:val="Body Small Right"/>
    <w:basedOn w:val="BodyTextRight"/>
    <w:rsid w:val="00CB65B5"/>
    <w:rPr>
      <w:sz w:val="18"/>
      <w:szCs w:val="18"/>
    </w:rPr>
  </w:style>
  <w:style w:type="paragraph" w:customStyle="1" w:styleId="MarginEdition">
    <w:name w:val="Margin Edition"/>
    <w:basedOn w:val="MarginNote"/>
    <w:rsid w:val="00CB6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5B5"/>
    <w:rPr>
      <w:sz w:val="2"/>
      <w:szCs w:val="2"/>
    </w:rPr>
  </w:style>
  <w:style w:type="character" w:customStyle="1" w:styleId="Small">
    <w:name w:val="Small"/>
    <w:basedOn w:val="DefaultParagraphFont"/>
    <w:rsid w:val="00CB65B5"/>
    <w:rPr>
      <w:sz w:val="16"/>
    </w:rPr>
  </w:style>
  <w:style w:type="paragraph" w:customStyle="1" w:styleId="WideTable">
    <w:name w:val="Wide Table"/>
    <w:basedOn w:val="Normal"/>
    <w:rsid w:val="00CB6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5B5"/>
  </w:style>
  <w:style w:type="paragraph" w:styleId="Quote">
    <w:name w:val="Quote"/>
    <w:basedOn w:val="Heading1"/>
    <w:link w:val="QuoteChar"/>
    <w:qFormat/>
    <w:rsid w:val="00CB6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5B5"/>
    <w:pPr>
      <w:pageBreakBefore/>
    </w:pPr>
  </w:style>
  <w:style w:type="paragraph" w:customStyle="1" w:styleId="Border">
    <w:name w:val="Border"/>
    <w:basedOn w:val="Normal"/>
    <w:qFormat/>
    <w:rsid w:val="00CB6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5B5"/>
    <w:rPr>
      <w:u w:val="single"/>
    </w:rPr>
  </w:style>
  <w:style w:type="character" w:customStyle="1" w:styleId="BoldandItalics">
    <w:name w:val="Bold and Italics"/>
    <w:qFormat/>
    <w:rsid w:val="00CB65B5"/>
    <w:rPr>
      <w:b/>
      <w:i/>
      <w:u w:val="none"/>
    </w:rPr>
  </w:style>
  <w:style w:type="paragraph" w:styleId="BalloonText">
    <w:name w:val="Balloon Text"/>
    <w:basedOn w:val="Normal"/>
    <w:link w:val="BalloonTextChar"/>
    <w:rsid w:val="00CB6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5B5"/>
    <w:pPr>
      <w:spacing w:before="0" w:after="0"/>
    </w:pPr>
  </w:style>
  <w:style w:type="paragraph" w:customStyle="1" w:styleId="BodyTextBold">
    <w:name w:val="Body Text Bold"/>
    <w:basedOn w:val="BodyText"/>
    <w:qFormat/>
    <w:rsid w:val="00CB65B5"/>
    <w:rPr>
      <w:b/>
    </w:rPr>
  </w:style>
  <w:style w:type="character" w:styleId="Hyperlink">
    <w:name w:val="Hyperlink"/>
    <w:basedOn w:val="DefaultParagraphFont"/>
    <w:uiPriority w:val="99"/>
    <w:unhideWhenUsed/>
    <w:rsid w:val="00CC7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2853</Characters>
  <Application>Microsoft Office Word</Application>
  <DocSecurity>0</DocSecurity>
  <Lines>158</Lines>
  <Paragraphs>80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TLIC0005 Close down rail traffic from autonomous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