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6026" w:rsidP="002C60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TLIC0003 Operate LP gas tanker</w:t>
      </w:r>
      <w:r>
        <w:fldChar w:fldCharType="end"/>
      </w:r>
    </w:p>
    <w:p w:rsidR="002C6026" w:rsidP="002C6026">
      <w:pPr>
        <w:pStyle w:val="Version"/>
        <w:sectPr w:rsidSect="00C45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45790" w:rsidP="00C45790">
      <w:pPr>
        <w:pStyle w:val="SuperHeading"/>
      </w:pPr>
      <w:r w:rsidRPr="00C45790">
        <w:t>TLIC0003 Operate LP gas tanker</w:t>
      </w:r>
    </w:p>
    <w:p w:rsidR="00000000" w:rsidRPr="00C45790" w:rsidP="00C45790">
      <w:pPr>
        <w:pStyle w:val="Heading1"/>
      </w:pPr>
      <w:bookmarkStart w:id="1" w:name="O_1066639"/>
      <w:bookmarkEnd w:id="1"/>
      <w:r w:rsidRPr="00C4579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Release 2</w:t>
            </w:r>
            <w:r w:rsidRPr="00C45790">
              <w:t>. This is the second release of this unit of competency in the TLI Transport and Logistics Training Package:</w:t>
            </w:r>
          </w:p>
          <w:p w:rsidR="00000000" w:rsidRPr="00C45790" w:rsidP="00C45790">
            <w:pPr>
              <w:pStyle w:val="ListBullet"/>
            </w:pPr>
            <w:r w:rsidRPr="00C45790">
              <w:t>Element 6 changed to: Check site to accept delivery</w:t>
            </w:r>
          </w:p>
          <w:p w:rsidR="00000000" w:rsidP="00C45790">
            <w:pPr>
              <w:pStyle w:val="ListBullet"/>
              <w:rPr>
                <w:lang w:val="en-NZ"/>
              </w:rPr>
            </w:pPr>
            <w:r w:rsidRPr="00C45790">
              <w:t>Minor statement changes in Assessment Conditions.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Release 1</w:t>
            </w:r>
            <w:r w:rsidRPr="00C45790">
              <w:t>. Th</w:t>
            </w:r>
            <w:r w:rsidRPr="00C45790">
              <w:t>is is the first release of this unit of competency in the TLI Transport and Logistics Training Package.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2" w:name="O_1066638"/>
      <w:bookmarkEnd w:id="2"/>
      <w:r w:rsidRPr="00C4579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This unit involves the skills and knowledge required to operate a liquid petroleum (LP) gas tanker in accordance with t</w:t>
            </w:r>
            <w:r w:rsidRPr="00C45790">
              <w:t>he current Australian Dangerous Goods (ADG) Code, mass and loading regulations, and relevant state/territory road and traffic authority vehicle licence requirements and regulations for heavy vehicles.</w:t>
            </w:r>
          </w:p>
          <w:p w:rsidR="00000000" w:rsidRPr="00C45790" w:rsidP="00C45790">
            <w:pPr>
              <w:pStyle w:val="BodyText"/>
            </w:pPr>
            <w:r w:rsidRPr="00C45790">
              <w:t>It includes recognising the characteristics of LP gas a</w:t>
            </w:r>
            <w:r w:rsidRPr="00C45790">
              <w:t>nd LP gas tankers to ensure safe transfer and transport of LP gas, conducting pre-trip inspections, supervising loading and transporting load to customer site. It also includes preparing a site to accept delivery, managing delivery, completing post-deliver</w:t>
            </w:r>
            <w:r w:rsidRPr="00C45790">
              <w:t>y activities and following emergency procedures.</w:t>
            </w:r>
          </w:p>
          <w:p w:rsidR="00000000" w:rsidRPr="00C45790" w:rsidP="00C45790">
            <w:pPr>
              <w:pStyle w:val="BodyText"/>
            </w:pPr>
            <w:r w:rsidRPr="00C45790">
              <w:t>An LP gas tanker is defined as any bulk road transport vehicle authorised to carry Class 2 liquid gases.</w:t>
            </w:r>
          </w:p>
          <w:p w:rsidR="00000000" w:rsidRPr="00C45790" w:rsidP="00C45790">
            <w:pPr>
              <w:pStyle w:val="BodyText"/>
            </w:pPr>
            <w:r w:rsidRPr="00C45790">
              <w:t>An LP gas tanker is operated with limited or minimum supervision, and with accountability and responsi</w:t>
            </w:r>
            <w:r w:rsidRPr="00C45790">
              <w:t>bility for self and others in achieving the prescribed outcomes.</w:t>
            </w:r>
          </w:p>
          <w:p w:rsidR="00000000" w:rsidRPr="00C45790" w:rsidP="00C45790">
            <w:pPr>
              <w:pStyle w:val="BodyText"/>
            </w:pPr>
            <w:r w:rsidRPr="00C45790">
              <w:t>No licensing, legislative or certification requirements apply to this unit at the time of publication.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3" w:name="O_1066637"/>
      <w:bookmarkEnd w:id="3"/>
      <w:r w:rsidRPr="00C4579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TLILIC0001 Licence to transport dangerous goods by road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4" w:name="O_1066636"/>
      <w:bookmarkEnd w:id="4"/>
      <w:r w:rsidRPr="00C4579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C – Vehicle Operation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5" w:name="O_1066635"/>
      <w:bookmarkEnd w:id="5"/>
      <w:r w:rsidRPr="00C4579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Not applicable.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6" w:name="O_1066634"/>
      <w:bookmarkEnd w:id="6"/>
      <w:r w:rsidRPr="00C4579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PERFORMANCE CRITERIA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Performance criteria describe the performance needed to demonstrate achievement of the element.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Recognise the characteristics of LP gas and LP gas tankers to ensure safe transfer and transport of LP gas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</w:t>
            </w:r>
            <w:r w:rsidRPr="00C45790">
              <w:t>roperties of LP gas being transported are identified in accordance with emergency response documentation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Hazards associated with LP gas transport are clarified in accordance with emergency response documentation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Hazardous atmosphere zones are determined in accordance with organisational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Functions of equipment fitted to an LP gas tanker are identified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Factors that cause static electricity and ways of minimising associated risks are identi</w:t>
            </w:r>
            <w:r w:rsidRPr="00C45790">
              <w:t>fied in accordance with organisational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Comply with legislative and organisational requirements for safe transfer and transport of LP gas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United Nations (UN) number, product class, packaging group and any sub-risks of LP gas being transp</w:t>
            </w:r>
            <w:r w:rsidRPr="00C45790">
              <w:t>orted are identified in accordance with emergency response documentation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Requirements for LP gas being transported are identified in accordance with the current ADG Code and legislative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Conduct pre-trip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checked to ensure dangerous goods (DG) compliance plate is attached to tanker in accordance with current ADG Code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load transfer equipment is checked to confirm security and state of repair, and that all hoses are tested and tagged in accordance with current ADG Code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checked to ensure safety equipment is accessible, properly maintai</w:t>
            </w:r>
            <w:r w:rsidRPr="00C45790">
              <w:t>ned, and stowed and secured in accordance with current ADG Code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checked to ensure personal protective equipment (PPE) is available, ready for use and meets current ADG Code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checked to ensure DG placards are correct for load and are displayed in accordance with current ADG Code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Fire extinguisher is checked for current date and pressure gauge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Shipping documentation is checked for accuracy an</w:t>
            </w:r>
            <w:r w:rsidRPr="00C45790">
              <w:t>d availability of emergency information in accordance with current ADG Code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3.8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Non-compliant vehicles and equipment are reported in accordance with organisational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Supervise loading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driven into loading site in accordance with site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positioned to enable loading to be carried out in accordance with site procedures without injury to people or damage to property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 xml:space="preserve">Park brake is applied, engine is </w:t>
            </w:r>
            <w:r w:rsidRPr="00C45790">
              <w:t>turned off and battery is isolated, as required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PPE is used in accordance with site and organisational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Transfer equipment is checked for compatibility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Loading activities are controlled within level of responsibility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Emergency procedures are followed in a spill or leak during loading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4.8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Strategies to minimise risks associated with static electricity are employed in accordance with organisational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5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Transport load to customer site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Routes are planned to avoid congested areas, tunnels or areas where people may congregate and to maximise efficiency between delivery sites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Planned or prescribed routes are followed in accordance with regulatory and organisational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5.</w:t>
            </w:r>
            <w:r w:rsidRPr="00C45790">
              <w:rPr>
                <w:rStyle w:val="SpecialBold"/>
              </w:rPr>
              <w:t>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driven and manoeuvred in accordance with legal requirements, and vehicle stability and prevailing environmental conditions are considered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Eco-driving techniques are applied, and courtesy and professionalism are exhibited toward other roa</w:t>
            </w:r>
            <w:r w:rsidRPr="00C45790">
              <w:t>d users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Action is taken to deal with traffic delays and diversions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5.6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Legislative and organisational procedures are adhered to when driving, parking and leaving tanker standing, or when tanker breaks down or stops on a road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Check</w:t>
            </w:r>
            <w:r w:rsidRPr="00C45790">
              <w:rPr>
                <w:rStyle w:val="SpecialBold"/>
              </w:rPr>
              <w:t xml:space="preserve"> site to accept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Pre-delivery assessment is made before entering delivery site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Site features that present a hazard and/or prevent delivery are rectified or reported in accordance with organisational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 xml:space="preserve">Site instructions </w:t>
            </w:r>
            <w:r w:rsidRPr="00C45790">
              <w:t>and/or restrictions are complied with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manoeuvred and positioned to ensure product can be delivered safely and efficiently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Park brake is applied, engine is turned off and battery is isolated, as required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PPE is used in accordance with site and organisational procedures, and steps are taken to apply personal safety measures and to manage potential hazards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6.7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Discharge area of delivery site is marked with signs and/or cones in accordance with workplace a</w:t>
            </w:r>
            <w:r w:rsidRPr="00C45790">
              <w:t>nd state/territory legislative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7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Manage delivery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Visible receiving vessel and/or components are checked for damage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Contents of receiving vessel/s are checked to ensure sufficient ullage exists for delivery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Product type and quantity are confirmed against delivery documents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Pressure gauges, valves, hoses and connections are visually checked for serviceability and leaks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Vehicle and/or delivery site emergency shutdown is identified and checked in a</w:t>
            </w:r>
            <w:r w:rsidRPr="00C45790">
              <w:t>ccordance with workplace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Hoses are connected for discharging to ensure correct product is delivered into correct vessel in correct sequence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Product is delivered in accordance with organisational and site procedures, and special delivery instructions are observed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Emergency procedures are followed in the event of a leak during delivery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7.9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Strategies to minimise risks associated with s</w:t>
            </w:r>
            <w:r w:rsidRPr="00C45790">
              <w:t>tatic electricity are employed in accordance with organisational requirements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8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Complete post-delivery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8.1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Product transfer equipment is disconnected in accordance with product type and organisational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8.2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Site is secured and restored to a clean and tidy condition in accordance with site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8.3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Delivery documentation is completed in accordance with organisational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8.4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Shipping documentation is amended to reflect changes in vehicle loa</w:t>
            </w:r>
            <w:r w:rsidRPr="00C45790">
              <w:t>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8.5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Pre-departure inspection of tanker is conducted in accordance with organisational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8.6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Tanker is driven safely from site in accordance with site procedures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9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rPr>
                <w:rStyle w:val="SpecialBold"/>
              </w:rPr>
              <w:t>Follow emergency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9.1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Incident is reported to police or fire services as soon as possible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9.2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Incident is reported to nominated person as soon as practicable in accordance with transport emergency response plan (TERP)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9.3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Reasonable assistance with load content is provide</w:t>
            </w:r>
            <w:r w:rsidRPr="00C45790">
              <w:t xml:space="preserve">d to authorised officer and emergency management supervisor </w:t>
            </w:r>
            <w:r w:rsidRPr="00C45790">
              <w:t>(EMS)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9.4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Warnings are provided to other vehicles and persons in the vicinity who may be at risk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9.5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Escape of gas is prevented or minimised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rPr>
                <w:rStyle w:val="SpecialBold"/>
              </w:rPr>
              <w:t>9.6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Incident is reported in accordance within legislative requirements or as nominated in the TERP</w:t>
            </w:r>
          </w:p>
        </w:tc>
      </w:tr>
    </w:tbl>
    <w:p w:rsidR="002C6026" w:rsidP="00C45790">
      <w:pPr>
        <w:pStyle w:val="NoPaddingFontSize1"/>
      </w:pPr>
    </w:p>
    <w:p w:rsidR="002C6026" w:rsidP="00C45790">
      <w:pPr>
        <w:pStyle w:val="NoPaddingFontSize1"/>
      </w:pPr>
    </w:p>
    <w:p w:rsidR="00000000" w:rsidRPr="00C45790" w:rsidP="00C45790">
      <w:pPr>
        <w:pStyle w:val="Heading1"/>
      </w:pPr>
      <w:bookmarkStart w:id="7" w:name="O_1066633"/>
      <w:bookmarkEnd w:id="7"/>
      <w:r w:rsidRPr="00C4579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Foundation skills essential to performance are explicit in the performance criteria of this unit of competency.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8" w:name="O_1066632"/>
      <w:bookmarkEnd w:id="8"/>
      <w:r w:rsidRPr="00C4579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881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Range is restricted to essential operating conditions and any other variables essential to the work environment.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Equipment fitted to an LP gas tanker must include:</w:t>
            </w: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ListBullet2"/>
            </w:pPr>
            <w:r w:rsidRPr="00C45790">
              <w:t>breakdown triangles</w:t>
            </w:r>
          </w:p>
          <w:p w:rsidR="00000000" w:rsidRPr="00C45790" w:rsidP="00C45790">
            <w:pPr>
              <w:pStyle w:val="ListBullet2"/>
            </w:pPr>
            <w:r w:rsidRPr="00C45790">
              <w:t>chemical resistant gloves</w:t>
            </w:r>
          </w:p>
          <w:p w:rsidR="00000000" w:rsidRPr="00C45790" w:rsidP="00C45790">
            <w:pPr>
              <w:pStyle w:val="ListBullet2"/>
            </w:pPr>
            <w:r w:rsidRPr="00C45790">
              <w:t>deluge system</w:t>
            </w:r>
          </w:p>
          <w:p w:rsidR="00000000" w:rsidRPr="00C45790" w:rsidP="00C45790">
            <w:pPr>
              <w:pStyle w:val="ListBullet2"/>
            </w:pPr>
            <w:r w:rsidRPr="00C45790">
              <w:t>emergency cones</w:t>
            </w:r>
          </w:p>
          <w:p w:rsidR="00000000" w:rsidRPr="00C45790" w:rsidP="00C45790">
            <w:pPr>
              <w:pStyle w:val="ListBullet2"/>
            </w:pPr>
            <w:r w:rsidRPr="00C45790">
              <w:t>emergency information holder</w:t>
            </w:r>
          </w:p>
          <w:p w:rsidR="00000000" w:rsidRPr="00C45790" w:rsidP="00C45790">
            <w:pPr>
              <w:pStyle w:val="ListBullet2"/>
            </w:pPr>
            <w:r w:rsidRPr="00C45790">
              <w:t>emergency shutdown controls</w:t>
            </w:r>
          </w:p>
          <w:p w:rsidR="00000000" w:rsidRPr="00C45790" w:rsidP="00C45790">
            <w:pPr>
              <w:pStyle w:val="ListBullet2"/>
            </w:pPr>
            <w:r w:rsidRPr="00C45790">
              <w:t>evacuation procedures</w:t>
            </w:r>
          </w:p>
          <w:p w:rsidR="00000000" w:rsidRPr="00C45790" w:rsidP="00C45790">
            <w:pPr>
              <w:pStyle w:val="ListBullet2"/>
            </w:pPr>
            <w:r w:rsidRPr="00C45790">
              <w:t>eyewash facility</w:t>
            </w:r>
          </w:p>
          <w:p w:rsidR="00000000" w:rsidRPr="00C45790" w:rsidP="00C45790">
            <w:pPr>
              <w:pStyle w:val="ListBullet2"/>
            </w:pPr>
            <w:r w:rsidRPr="00C45790">
              <w:t>fire alarm</w:t>
            </w:r>
          </w:p>
          <w:p w:rsidR="00000000" w:rsidRPr="00C45790" w:rsidP="00C45790">
            <w:pPr>
              <w:pStyle w:val="ListBullet2"/>
            </w:pPr>
            <w:r w:rsidRPr="00C45790">
              <w:t>fire extinguishers</w:t>
            </w:r>
          </w:p>
          <w:p w:rsidR="00000000" w:rsidP="00C45790">
            <w:pPr>
              <w:pStyle w:val="ListBullet2"/>
              <w:rPr>
                <w:lang w:val="en-NZ"/>
              </w:rPr>
            </w:pPr>
            <w:r w:rsidRPr="00C45790">
              <w:t>torch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Loading and unloading sites must include at least one of the following:</w:t>
            </w: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ListBullet2"/>
            </w:pPr>
            <w:r w:rsidRPr="00C45790">
              <w:t>customer site</w:t>
            </w:r>
          </w:p>
          <w:p w:rsidR="00000000" w:rsidRPr="00C45790" w:rsidP="00C45790">
            <w:pPr>
              <w:pStyle w:val="ListBullet2"/>
            </w:pPr>
            <w:r w:rsidRPr="00C45790">
              <w:t>depot</w:t>
            </w:r>
          </w:p>
          <w:p w:rsidR="00000000" w:rsidP="00C45790">
            <w:pPr>
              <w:pStyle w:val="ListBullet2"/>
              <w:rPr>
                <w:lang w:val="en-NZ"/>
              </w:rPr>
            </w:pPr>
            <w:r w:rsidRPr="00C45790">
              <w:t>terminal</w:t>
            </w:r>
          </w:p>
        </w:tc>
      </w:tr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790">
            <w:pPr>
              <w:pStyle w:val="BodyText"/>
              <w:rPr>
                <w:lang w:val="en-NZ"/>
              </w:rPr>
            </w:pPr>
            <w:r w:rsidRPr="00C45790">
              <w:t>Documentation must include:</w:t>
            </w:r>
          </w:p>
        </w:tc>
        <w:tc>
          <w:tcPr>
            <w:tcW w:w="68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ListBullet2"/>
            </w:pPr>
            <w:r w:rsidRPr="00C45790">
              <w:t>emergency procedure guides</w:t>
            </w:r>
          </w:p>
          <w:p w:rsidR="00000000" w:rsidRPr="00C45790" w:rsidP="00C45790">
            <w:pPr>
              <w:pStyle w:val="ListBullet2"/>
            </w:pPr>
            <w:r w:rsidRPr="00C45790">
              <w:t>shipping documentation</w:t>
            </w:r>
          </w:p>
          <w:p w:rsidR="00000000" w:rsidRPr="00C45790" w:rsidP="00C45790">
            <w:pPr>
              <w:pStyle w:val="ListBullet2"/>
            </w:pPr>
            <w:r w:rsidRPr="00C45790">
              <w:t>state/territory road rules</w:t>
            </w:r>
          </w:p>
          <w:p w:rsidR="00000000" w:rsidRPr="00C45790" w:rsidP="00C45790">
            <w:pPr>
              <w:pStyle w:val="ListBullet2"/>
            </w:pPr>
            <w:r w:rsidRPr="00C45790">
              <w:t>TERP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9" w:name="O_1066631"/>
      <w:bookmarkEnd w:id="9"/>
      <w:r w:rsidRPr="00C4579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4579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790" w:rsidP="00C45790">
            <w:pPr>
              <w:pStyle w:val="BodyText"/>
            </w:pPr>
            <w:r w:rsidRPr="00C45790">
              <w:t>This unit replaces but is not equivalent to TLIC4067A Operate LP gas tanker.</w:t>
            </w:r>
          </w:p>
        </w:tc>
      </w:tr>
    </w:tbl>
    <w:p w:rsidR="00000000" w:rsidRPr="00C45790" w:rsidP="00C45790">
      <w:pPr>
        <w:pStyle w:val="NoPaddingFontSize1"/>
      </w:pPr>
    </w:p>
    <w:p w:rsidR="00000000" w:rsidRPr="00C45790" w:rsidP="00C45790">
      <w:pPr>
        <w:pStyle w:val="AllowPageBreak"/>
      </w:pPr>
    </w:p>
    <w:p w:rsidR="00000000" w:rsidRPr="00C45790" w:rsidP="00C45790">
      <w:pPr>
        <w:pStyle w:val="Heading1"/>
      </w:pPr>
      <w:bookmarkStart w:id="10" w:name="O_1066640"/>
      <w:bookmarkEnd w:id="10"/>
      <w:r w:rsidRPr="00C45790">
        <w:t>Links</w:t>
      </w:r>
    </w:p>
    <w:p w:rsidR="00000000" w:rsidRPr="00C45790" w:rsidP="002C6026">
      <w:pPr>
        <w:pStyle w:val="BodyText"/>
      </w:pPr>
      <w:r w:rsidRPr="00C4579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F42563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C45790" w:rsidP="00C45790"/>
    <w:sectPr w:rsidSect="00C4579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90" w:rsidRPr="002C6026" w:rsidP="002C60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26" w:rsidP="00C45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C6026" w:rsidP="00C45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2C6026" w:rsidP="00C45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790" w:rsidRPr="002C6026" w:rsidP="002C60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026" w:rsidRPr="002D2AF8" w:rsidP="00C45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TLIC0003 Operate LP gas tanker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2C6026" w:rsidP="00C45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4F407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BF0BB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D2F8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790"/>
  </w:style>
  <w:style w:type="character" w:customStyle="1" w:styleId="Heading1Char">
    <w:name w:val="Heading 1 Char"/>
    <w:basedOn w:val="DefaultParagraphFont"/>
    <w:link w:val="Heading1"/>
    <w:rsid w:val="00C45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4579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45790"/>
    <w:rPr>
      <w:b/>
      <w:spacing w:val="0"/>
    </w:rPr>
  </w:style>
  <w:style w:type="paragraph" w:styleId="ListBullet2">
    <w:name w:val="List Bullet 2"/>
    <w:basedOn w:val="List2"/>
    <w:rsid w:val="00C4579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45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45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45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45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45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79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45790"/>
    <w:rPr>
      <w:i/>
    </w:rPr>
  </w:style>
  <w:style w:type="paragraph" w:styleId="Caption">
    <w:name w:val="caption"/>
    <w:basedOn w:val="BodyText"/>
    <w:next w:val="Normal"/>
    <w:qFormat/>
    <w:rsid w:val="00C45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790"/>
  </w:style>
  <w:style w:type="paragraph" w:styleId="TableofFigures">
    <w:name w:val="table of figures"/>
    <w:basedOn w:val="Normal"/>
    <w:next w:val="Normal"/>
    <w:semiHidden/>
    <w:rsid w:val="00C45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7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45790"/>
    <w:rPr>
      <w:rFonts w:ascii="Wingdings" w:hAnsi="Wingdings"/>
    </w:rPr>
  </w:style>
  <w:style w:type="paragraph" w:customStyle="1" w:styleId="TableHeading">
    <w:name w:val="Table Heading"/>
    <w:basedOn w:val="HeadingBase"/>
    <w:rsid w:val="00C45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790"/>
    <w:rPr>
      <w:color w:val="0033CC"/>
      <w:u w:val="none"/>
    </w:rPr>
  </w:style>
  <w:style w:type="paragraph" w:customStyle="1" w:styleId="BodyTextRight">
    <w:name w:val="Body Text Right"/>
    <w:basedOn w:val="BodyText"/>
    <w:rsid w:val="00C45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7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790"/>
    <w:rPr>
      <w:sz w:val="32"/>
    </w:rPr>
  </w:style>
  <w:style w:type="paragraph" w:customStyle="1" w:styleId="HeadingProcedure">
    <w:name w:val="Heading Procedure"/>
    <w:basedOn w:val="HeadingBase"/>
    <w:next w:val="Normal"/>
    <w:rsid w:val="00C45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790"/>
    <w:pPr>
      <w:spacing w:before="60" w:after="60"/>
    </w:pPr>
  </w:style>
  <w:style w:type="paragraph" w:styleId="ListContinue">
    <w:name w:val="List Continue"/>
    <w:basedOn w:val="List"/>
    <w:rsid w:val="00C45790"/>
    <w:pPr>
      <w:ind w:firstLine="0"/>
    </w:pPr>
  </w:style>
  <w:style w:type="paragraph" w:customStyle="1" w:styleId="ListNote">
    <w:name w:val="List Note"/>
    <w:basedOn w:val="List"/>
    <w:rsid w:val="00C45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790"/>
    <w:rPr>
      <w:rFonts w:ascii="Courier New" w:hAnsi="Courier New"/>
    </w:rPr>
  </w:style>
  <w:style w:type="paragraph" w:customStyle="1" w:styleId="NoteBullet">
    <w:name w:val="Note Bullet"/>
    <w:basedOn w:val="Note"/>
    <w:rsid w:val="00C45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7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45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790"/>
    <w:rPr>
      <w:b/>
      <w:smallCaps/>
    </w:rPr>
  </w:style>
  <w:style w:type="paragraph" w:customStyle="1" w:styleId="TableListNumber">
    <w:name w:val="Table List Number"/>
    <w:basedOn w:val="ListNumber"/>
    <w:rsid w:val="00C45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790"/>
    <w:pPr>
      <w:numPr>
        <w:numId w:val="9"/>
      </w:numPr>
    </w:pPr>
  </w:style>
  <w:style w:type="paragraph" w:customStyle="1" w:styleId="ListAlpha2">
    <w:name w:val="List Alpha 2"/>
    <w:basedOn w:val="List2"/>
    <w:rsid w:val="00C45790"/>
    <w:pPr>
      <w:numPr>
        <w:numId w:val="8"/>
      </w:numPr>
    </w:pPr>
  </w:style>
  <w:style w:type="paragraph" w:styleId="List2">
    <w:name w:val="List 2"/>
    <w:basedOn w:val="BodyText"/>
    <w:rsid w:val="00C45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7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7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45790"/>
    <w:pPr>
      <w:numPr>
        <w:numId w:val="4"/>
      </w:numPr>
    </w:pPr>
  </w:style>
  <w:style w:type="paragraph" w:styleId="ListContinue2">
    <w:name w:val="List Continue 2"/>
    <w:basedOn w:val="List2"/>
    <w:rsid w:val="00C45790"/>
    <w:pPr>
      <w:ind w:firstLine="0"/>
    </w:pPr>
  </w:style>
  <w:style w:type="paragraph" w:styleId="ListContinue3">
    <w:name w:val="List Continue 3"/>
    <w:basedOn w:val="List3"/>
    <w:rsid w:val="00C45790"/>
    <w:pPr>
      <w:ind w:left="1021" w:firstLine="0"/>
    </w:pPr>
  </w:style>
  <w:style w:type="paragraph" w:styleId="ListContinue4">
    <w:name w:val="List Continue 4"/>
    <w:basedOn w:val="List4"/>
    <w:rsid w:val="00C45790"/>
    <w:pPr>
      <w:ind w:firstLine="0"/>
    </w:pPr>
  </w:style>
  <w:style w:type="paragraph" w:styleId="ListContinue5">
    <w:name w:val="List Continue 5"/>
    <w:basedOn w:val="List5"/>
    <w:rsid w:val="00C45790"/>
    <w:pPr>
      <w:ind w:firstLine="0"/>
    </w:pPr>
  </w:style>
  <w:style w:type="paragraph" w:styleId="ListNumber3">
    <w:name w:val="List Number 3"/>
    <w:basedOn w:val="List3"/>
    <w:rsid w:val="00C45790"/>
    <w:pPr>
      <w:numPr>
        <w:numId w:val="5"/>
      </w:numPr>
    </w:pPr>
  </w:style>
  <w:style w:type="paragraph" w:styleId="ListNumber4">
    <w:name w:val="List Number 4"/>
    <w:basedOn w:val="List4"/>
    <w:rsid w:val="00C45790"/>
    <w:pPr>
      <w:numPr>
        <w:numId w:val="6"/>
      </w:numPr>
    </w:pPr>
  </w:style>
  <w:style w:type="paragraph" w:styleId="ListNumber5">
    <w:name w:val="List Number 5"/>
    <w:basedOn w:val="List5"/>
    <w:rsid w:val="00C45790"/>
    <w:pPr>
      <w:numPr>
        <w:numId w:val="7"/>
      </w:numPr>
    </w:pPr>
  </w:style>
  <w:style w:type="paragraph" w:styleId="BlockText">
    <w:name w:val="Block Text"/>
    <w:basedOn w:val="Normal"/>
    <w:rsid w:val="00C45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790"/>
    <w:rPr>
      <w:sz w:val="16"/>
      <w:vertAlign w:val="superscript"/>
    </w:rPr>
  </w:style>
  <w:style w:type="character" w:customStyle="1" w:styleId="Symbols">
    <w:name w:val="Symbols"/>
    <w:basedOn w:val="DefaultParagraphFont"/>
    <w:rsid w:val="00C45790"/>
    <w:rPr>
      <w:rFonts w:ascii="Symbol" w:hAnsi="Symbol"/>
    </w:rPr>
  </w:style>
  <w:style w:type="character" w:customStyle="1" w:styleId="MenuOptions">
    <w:name w:val="Menu Options"/>
    <w:basedOn w:val="DefaultParagraphFont"/>
    <w:rsid w:val="00C45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790"/>
    <w:rPr>
      <w:b/>
    </w:rPr>
  </w:style>
  <w:style w:type="character" w:customStyle="1" w:styleId="Underlined">
    <w:name w:val="Underlined"/>
    <w:basedOn w:val="DefaultParagraphFont"/>
    <w:rsid w:val="00C45790"/>
    <w:rPr>
      <w:u w:val="single"/>
    </w:rPr>
  </w:style>
  <w:style w:type="paragraph" w:customStyle="1" w:styleId="TableBodyTextRight">
    <w:name w:val="Table Body Text Right"/>
    <w:basedOn w:val="TableBodyText"/>
    <w:rsid w:val="00C45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790"/>
    <w:rPr>
      <w:sz w:val="18"/>
    </w:rPr>
  </w:style>
  <w:style w:type="paragraph" w:customStyle="1" w:styleId="BodySmallRight">
    <w:name w:val="Body Small Right"/>
    <w:basedOn w:val="BodyTextRight"/>
    <w:rsid w:val="00C45790"/>
    <w:rPr>
      <w:sz w:val="18"/>
      <w:szCs w:val="18"/>
    </w:rPr>
  </w:style>
  <w:style w:type="paragraph" w:customStyle="1" w:styleId="MarginEdition">
    <w:name w:val="Margin Edition"/>
    <w:basedOn w:val="MarginNote"/>
    <w:rsid w:val="00C45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790"/>
    <w:rPr>
      <w:sz w:val="2"/>
      <w:szCs w:val="2"/>
    </w:rPr>
  </w:style>
  <w:style w:type="character" w:customStyle="1" w:styleId="Small">
    <w:name w:val="Small"/>
    <w:basedOn w:val="DefaultParagraphFont"/>
    <w:rsid w:val="00C45790"/>
    <w:rPr>
      <w:sz w:val="16"/>
    </w:rPr>
  </w:style>
  <w:style w:type="paragraph" w:customStyle="1" w:styleId="WideTable">
    <w:name w:val="Wide Table"/>
    <w:basedOn w:val="Normal"/>
    <w:rsid w:val="00C45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790"/>
  </w:style>
  <w:style w:type="paragraph" w:styleId="Quote">
    <w:name w:val="Quote"/>
    <w:basedOn w:val="Heading1"/>
    <w:link w:val="QuoteChar"/>
    <w:qFormat/>
    <w:rsid w:val="00C45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790"/>
    <w:pPr>
      <w:pageBreakBefore/>
    </w:pPr>
  </w:style>
  <w:style w:type="paragraph" w:customStyle="1" w:styleId="Border">
    <w:name w:val="Border"/>
    <w:basedOn w:val="Normal"/>
    <w:qFormat/>
    <w:rsid w:val="00C45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790"/>
    <w:rPr>
      <w:u w:val="single"/>
    </w:rPr>
  </w:style>
  <w:style w:type="character" w:customStyle="1" w:styleId="BoldandItalics">
    <w:name w:val="Bold and Italics"/>
    <w:qFormat/>
    <w:rsid w:val="00C45790"/>
    <w:rPr>
      <w:b/>
      <w:i/>
      <w:u w:val="none"/>
    </w:rPr>
  </w:style>
  <w:style w:type="paragraph" w:styleId="BalloonText">
    <w:name w:val="Balloon Text"/>
    <w:basedOn w:val="Normal"/>
    <w:link w:val="BalloonTextChar"/>
    <w:rsid w:val="00C45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790"/>
    <w:pPr>
      <w:spacing w:before="0" w:after="0"/>
    </w:pPr>
  </w:style>
  <w:style w:type="paragraph" w:customStyle="1" w:styleId="BodyTextBold">
    <w:name w:val="Body Text Bold"/>
    <w:basedOn w:val="BodyText"/>
    <w:qFormat/>
    <w:rsid w:val="00C45790"/>
    <w:rPr>
      <w:b/>
    </w:rPr>
  </w:style>
  <w:style w:type="character" w:styleId="Hyperlink">
    <w:name w:val="Hyperlink"/>
    <w:basedOn w:val="DefaultParagraphFont"/>
    <w:uiPriority w:val="99"/>
    <w:unhideWhenUsed/>
    <w:rsid w:val="002C60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1397</Words>
  <Characters>8257</Characters>
  <Application>Microsoft Office Word</Application>
  <DocSecurity>0</DocSecurity>
  <Lines>434</Lines>
  <Paragraphs>224</Paragraphs>
  <ScaleCrop>false</ScaleCrop>
  <Company>Author-it Software Corporation Ltd.</Company>
  <LinksUpToDate>false</LinksUpToDate>
  <CharactersWithSpaces>9430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TLIC0003 Operate LP gas tanker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2024-07-12T07:51:00Z</dcterms:created>
  <dcterms:modified xsi:type="dcterms:W3CDTF">2024-07-12T07:52:00Z</dcterms:modified>
</cp:coreProperties>
</file>