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FB1" w:rsidP="00C60F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TLIC0002 Operate fuel tanker</w:t>
      </w:r>
      <w:r>
        <w:fldChar w:fldCharType="end"/>
      </w:r>
    </w:p>
    <w:p w:rsidR="00C60FB1" w:rsidP="00C60FB1">
      <w:pPr>
        <w:pStyle w:val="Version"/>
        <w:sectPr w:rsidSect="00CF77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749" w:rsidP="00CF7749">
      <w:pPr>
        <w:pStyle w:val="SuperHeading"/>
      </w:pPr>
      <w:r w:rsidRPr="00CF7749">
        <w:t>TLIC0002 Operate fuel tanker</w:t>
      </w:r>
    </w:p>
    <w:p w:rsidR="00000000" w:rsidRPr="00CF7749" w:rsidP="00CF7749">
      <w:pPr>
        <w:pStyle w:val="Heading1"/>
      </w:pPr>
      <w:bookmarkStart w:id="1" w:name="O_846703"/>
      <w:bookmarkEnd w:id="1"/>
      <w:r w:rsidRPr="00CF7749">
        <w:t>Modification History</w:t>
      </w:r>
    </w:p>
    <w:p w:rsidR="00C60FB1" w:rsidP="00C60FB1">
      <w:pPr>
        <w:pStyle w:val="BodyText"/>
      </w:pPr>
      <w:r w:rsidRPr="00CF7749">
        <w:t>Release 1. This is the first release of this unit of competency in the TLI Transport and Logistics Training Package.</w:t>
      </w:r>
    </w:p>
    <w:p w:rsidR="00000000" w:rsidRPr="00CF7749" w:rsidP="00CF7749">
      <w:pPr>
        <w:pStyle w:val="Heading1"/>
      </w:pPr>
      <w:bookmarkStart w:id="2" w:name="O_846704"/>
      <w:bookmarkEnd w:id="2"/>
      <w:r w:rsidRPr="00CF774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F77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BodyText"/>
            </w:pPr>
            <w:r w:rsidRPr="00CF7749">
              <w:t>This unit involves the skills and knowledge required to operate a fuel tanker in accorda</w:t>
            </w:r>
            <w:r w:rsidRPr="00CF7749">
              <w:t xml:space="preserve">nce with the current Australian Dangerous Goods (ADG) Code, mass and loading regulations, and relevant state/territory road traffic authority vehicle licence requirements and regulations for heavy vehicles. </w:t>
            </w:r>
          </w:p>
          <w:p w:rsidR="00000000" w:rsidRPr="00CF7749" w:rsidP="00CF7749">
            <w:pPr>
              <w:pStyle w:val="BodyText"/>
            </w:pPr>
            <w:r w:rsidRPr="00CF7749">
              <w:t>It includes recognising the characteristics of f</w:t>
            </w:r>
            <w:r w:rsidRPr="00CF7749">
              <w:t>uel and fuel tankers to ensure the safe transfer and transport of fuel, conducting pre-trip inspections, performing tanker loading tests and transporting load to customer site. It also includes preparing a site to accept delivery, managing delivery, comple</w:t>
            </w:r>
            <w:r w:rsidRPr="00CF7749">
              <w:t>ting post-delivery activities and following emergency procedures.</w:t>
            </w:r>
          </w:p>
          <w:p w:rsidR="00000000" w:rsidRPr="00CF7749" w:rsidP="00CF7749">
            <w:pPr>
              <w:pStyle w:val="BodyText"/>
            </w:pPr>
            <w:r w:rsidRPr="00CF7749">
              <w:t xml:space="preserve">A fuel tanker is defined as any bulk road transport vehicle authorised to carry Class 3 flammable liquid and combustible fuel. </w:t>
            </w:r>
          </w:p>
          <w:p w:rsidR="00000000" w:rsidRPr="00CF7749" w:rsidP="00CF7749">
            <w:pPr>
              <w:pStyle w:val="BodyText"/>
            </w:pPr>
            <w:r w:rsidRPr="00CF7749">
              <w:t>Fuel tankers are operated with limited or minimum supervision,</w:t>
            </w:r>
            <w:r w:rsidRPr="00CF7749">
              <w:t xml:space="preserve"> and with accountability and responsibility for self and others in achieving the prescribed outcomes.</w:t>
            </w:r>
          </w:p>
          <w:p w:rsidR="00000000" w:rsidRPr="00CF7749" w:rsidP="00CF7749">
            <w:pPr>
              <w:pStyle w:val="BodyText"/>
            </w:pPr>
            <w:r w:rsidRPr="00CF7749">
              <w:t>No licensing, legislative or certification requirements apply to this unit at the time of publication.</w:t>
            </w:r>
          </w:p>
        </w:tc>
      </w:tr>
    </w:tbl>
    <w:p w:rsidR="00C60FB1" w:rsidP="00CF7749">
      <w:pPr>
        <w:pStyle w:val="BodyText"/>
      </w:pPr>
    </w:p>
    <w:p w:rsidR="00C60FB1" w:rsidP="00CF7749">
      <w:pPr>
        <w:pStyle w:val="BodyText"/>
      </w:pPr>
    </w:p>
    <w:p w:rsidR="00000000" w:rsidRPr="00CF7749" w:rsidP="00CF7749">
      <w:pPr>
        <w:pStyle w:val="Heading1"/>
      </w:pPr>
      <w:bookmarkStart w:id="3" w:name="O_846705"/>
      <w:bookmarkEnd w:id="3"/>
      <w:r w:rsidRPr="00CF7749">
        <w:t>Pre-requisite Unit</w:t>
      </w:r>
    </w:p>
    <w:p w:rsidR="00C60FB1" w:rsidP="00C60FB1">
      <w:pPr>
        <w:pStyle w:val="BodyText"/>
      </w:pPr>
      <w:r w:rsidRPr="00CF7749">
        <w:t>TLILIC0001 L</w:t>
      </w:r>
      <w:r w:rsidRPr="00CF7749">
        <w:t>icence to transport dangerous goods by road</w:t>
      </w:r>
    </w:p>
    <w:p w:rsidR="00000000" w:rsidRPr="00CF7749" w:rsidP="00CF7749">
      <w:pPr>
        <w:pStyle w:val="Heading1"/>
      </w:pPr>
      <w:bookmarkStart w:id="4" w:name="O_846706"/>
      <w:bookmarkEnd w:id="4"/>
      <w:r w:rsidRPr="00CF7749">
        <w:t>Competency Field</w:t>
      </w:r>
    </w:p>
    <w:p w:rsidR="00C60FB1" w:rsidP="00C60FB1">
      <w:pPr>
        <w:pStyle w:val="BodyText"/>
      </w:pPr>
      <w:r w:rsidRPr="00CF7749">
        <w:t>C – Vehicle Operation</w:t>
      </w:r>
    </w:p>
    <w:p w:rsidR="00000000" w:rsidRPr="00CF7749" w:rsidP="00CF7749">
      <w:pPr>
        <w:pStyle w:val="Heading1"/>
      </w:pPr>
      <w:bookmarkStart w:id="5" w:name="O_846707"/>
      <w:bookmarkEnd w:id="5"/>
      <w:r w:rsidRPr="00CF7749">
        <w:t>Unit Sector</w:t>
      </w:r>
    </w:p>
    <w:p w:rsidR="00C60FB1" w:rsidP="00C60FB1">
      <w:pPr>
        <w:pStyle w:val="BodyText"/>
      </w:pPr>
      <w:r w:rsidRPr="00CF7749">
        <w:t>Not applicable.</w:t>
      </w:r>
    </w:p>
    <w:p w:rsidR="00000000" w:rsidRPr="00CF7749" w:rsidP="00CF7749">
      <w:pPr>
        <w:pStyle w:val="Heading1"/>
      </w:pPr>
      <w:bookmarkStart w:id="6" w:name="O_846708"/>
      <w:bookmarkEnd w:id="6"/>
      <w:r w:rsidRPr="00CF774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BodyText"/>
            </w:pPr>
            <w:r w:rsidRPr="00CF774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rPr>
                <w:rStyle w:val="SpecialBold"/>
              </w:rPr>
              <w:t>PERFORMANCE CRITERIA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Performance criteria describe the performance needed to demonstrate achievement of the element.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BodyText"/>
            </w:pPr>
            <w:r w:rsidRPr="00CF774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rPr>
                <w:rStyle w:val="SpecialBold"/>
              </w:rPr>
              <w:t>Recognise the characteristics of fuel and fuel tankers to ensure safe transfer and transport of fuel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Properti</w:t>
            </w:r>
            <w:r w:rsidRPr="00CF7749">
              <w:t>es of fuel being transported are determined in accordance with emergency response documentation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Hazards associated with fuel transport are clarified in accordance with emergency response documentation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Hazardous atmosphere zones are identified in accordance with organisational requirements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Functions of equipment fitted to a fuel tanker are identified, including work health and safety(WHS)/occupational health and safety (OHS) and emergency response</w:t>
            </w:r>
            <w:r w:rsidRPr="00CF7749">
              <w:t xml:space="preserve"> equipment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Factors that cause static electricity and ways of minimising associated risks are identified in accordance with organisational requirements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Switch loading is identified in accordance with industry procedures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BodyText"/>
            </w:pPr>
            <w:r w:rsidRPr="00CF774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rPr>
                <w:rStyle w:val="SpecialBold"/>
              </w:rPr>
              <w:t>Comply with legislative and organisational requirements for safe transfer and transport of fuel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UN number, product class, packaging group and any sub-risks of fuel being transported are identified in accordance with emergency response documentation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Approved handler and approved filler requirements for fuel being transported are identified in accordance with the current ADG Code and Australian Institute of Petroleum (AIP) site requirements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BodyText"/>
            </w:pPr>
            <w:r w:rsidRPr="00CF774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rPr>
                <w:rStyle w:val="SpecialBold"/>
              </w:rPr>
              <w:t>Conduct pre-trip inspection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Tanker is checked for c</w:t>
            </w:r>
            <w:r w:rsidRPr="00CF7749">
              <w:t>urrent terminal entry compliance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Tanker is checked to ensure dangerous goods (DG) compliance plate is attached to tanker in accordance with current ADG Code requirements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Tanker loa</w:t>
            </w:r>
            <w:r w:rsidRPr="00CF7749">
              <w:t>d transfer equipment is checked to confirm security and state of repair, and that all hoses are tested and tagged in accordance with current ADG Code requirements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Tanker is checked to ensure safety equipment is accessible, properly maintained, and s</w:t>
            </w:r>
            <w:r w:rsidRPr="00CF7749">
              <w:t>towed and secured in accordance with current ADG Code requirements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Tanker is checked to ensure personal protective equipment (PPE) is available, ready for use and meets current ADG Code requirements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Tanker is checked to ensure DG placards are</w:t>
            </w:r>
            <w:r w:rsidRPr="00CF7749">
              <w:t xml:space="preserve"> correct for the load and are displayed in accordance with current ADG Code requirements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Fire extinguisher is checked for current date and pressure gauge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Shipping documentation is checked for accuracy and availability of  emergency information in accordance with current ADG Code requirements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Non-compliant vehicles and equipment are reported in accordance with organisational procedures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BodyText"/>
            </w:pPr>
            <w:r w:rsidRPr="00CF774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rPr>
                <w:rStyle w:val="SpecialBold"/>
              </w:rPr>
              <w:t>Perform tank</w:t>
            </w:r>
            <w:r w:rsidRPr="00CF7749">
              <w:rPr>
                <w:rStyle w:val="SpecialBold"/>
              </w:rPr>
              <w:t>er loading tests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Tanker is driven into loading site in accordance with site procedures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Tanker is positioned to enable loading to be carried out in accordance with site procedures, without injury to people or damage to property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Park brake is applied, engine is turned off and battery is isolated as required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PPE is used in accordance with site and organisational procedures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Transfer equipment is checked for compatibility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Loading ac</w:t>
            </w:r>
            <w:r w:rsidRPr="00CF7749">
              <w:t>tivities are controlled within level of responsibility, company regulations and legislative requirements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Emergency procedures are followed in a spill or leak during loading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Static control measures are applied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BodyText"/>
            </w:pPr>
            <w:r w:rsidRPr="00CF774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rPr>
                <w:rStyle w:val="SpecialBold"/>
              </w:rPr>
              <w:t>Transport load to customer sit</w:t>
            </w:r>
            <w:r w:rsidRPr="00CF7749">
              <w:rPr>
                <w:rStyle w:val="SpecialBold"/>
              </w:rPr>
              <w:t>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Routes are planned to avoid congested areas, tunnels or areas where people may congregate and to maximise efficiency between delivery sites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Prescribed routes are followed in accordance with regulatory and organisational requirements, and courtesy and professionalism are exhibited toward other road users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Tanker is driven and manoeuvred in accordance with legal requirements, and vehicle s</w:t>
            </w:r>
            <w:r w:rsidRPr="00CF7749">
              <w:t>tability and prevailing environmental conditions are considered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 xml:space="preserve">Eco-driving techniques are applied 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Action is taken to deal with traffic delays and diversions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Legislative and organisational procedures are adhered to when driving, parking and leaving tanker standing, or when a tanker breaks down or stops on a road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BodyText"/>
            </w:pPr>
            <w:r w:rsidRPr="00CF7749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rPr>
                <w:rStyle w:val="SpecialBold"/>
              </w:rPr>
              <w:t>Prepare site to accept delivery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Pre-delivery assessment is made before entering delivery site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Site features that present a hazard and/or prevent delivery are rectified or reported in accordance with organisational requirements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Site instructions and/or restrictions are complied with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Tanker is manoeuvred and positioned to ensure product can be delivered safely and efficiently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Park brake is applied, and engine is turned off and battery is isolated as required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PPE is used in accordance with site and organisational procedures, and steps are taken to apply personal safety measures and to manage potential hazards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Discharge area of delivery site is marked with signs and/or cones in accordance with workplace a</w:t>
            </w:r>
            <w:r w:rsidRPr="00CF7749">
              <w:t>nd state/territory legislative requirements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BodyText"/>
            </w:pPr>
            <w:r w:rsidRPr="00CF7749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rPr>
                <w:rStyle w:val="SpecialBold"/>
              </w:rPr>
              <w:t>Manage delivery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Static control measures are applied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Visible receiving vessel and/or components are checked for damage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Contents of receiving vessel/s are checked to ensure sufficient ullage exists for delivery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Product type and quantity are confirmed against delivery documents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Gauges, valves, hoses and connections are visually checked for serviceability and leaks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Vehicle and/or delivery site emergency shut down is identified and checked in accordance with workplace requirements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Hoses are connected for discharging t</w:t>
            </w:r>
            <w:r w:rsidRPr="00CF7749">
              <w:t>o ensure correct product is delivered into correct vessel in correct sequence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7.8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Product is delivered in accordance with organisational and site procedures, and special delivery instructions are observed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7.9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Emergency procedures are followed in a spill or leak during delivery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BodyText"/>
            </w:pPr>
            <w:r w:rsidRPr="00CF7749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rPr>
                <w:rStyle w:val="SpecialBold"/>
              </w:rPr>
              <w:t>Complete post-delivery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Product transfer equipment is disconnected in accordance with product type and organisational procedures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After</w:t>
            </w:r>
            <w:r w:rsidRPr="00CF7749">
              <w:noBreakHyphen/>
              <w:t xml:space="preserve">dip of tank is conducted to </w:t>
            </w:r>
            <w:r w:rsidRPr="00CF7749">
              <w:t>ensure product is in correct tanks and load has been fully delivered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Site is secured and restored to a clean and tidy condition in accordance with site procedures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Delivery documentation is completed in accordance with organisational procedures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Shipping documentation is amended to reflect changes in vehicle load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8.6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Pre-departure inspection of tanker is conducted in accordance with organisational procedures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8.7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Tanker is driven safely from site in accordance with site procedures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BodyText"/>
            </w:pPr>
            <w:r w:rsidRPr="00CF7749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rPr>
                <w:rStyle w:val="SpecialBold"/>
              </w:rPr>
              <w:t>Follow emergency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Incident is reported to police or fire services as soon as possible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Incident is reported to nominated person as soon as practicable in accordance with the transport emergency response plan (TERP)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 xml:space="preserve">Reasonable assistance is provided as required by an authorised officer or officer of the emergency services to deal with </w:t>
            </w:r>
            <w:r w:rsidRPr="00CF7749">
              <w:t>the situation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Warnings are provided to other vehicles and persons in the vicinity who may be at risk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9.5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Escape of fuel is prevented or minimised</w:t>
            </w:r>
          </w:p>
        </w:tc>
      </w:tr>
      <w:tr w:rsidTr="00C60F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9.6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BodyText"/>
            </w:pPr>
            <w:r w:rsidRPr="00CF7749">
              <w:t>Incident is reported in accordance with legislative requirements or as nominated in the TERP</w:t>
            </w:r>
          </w:p>
        </w:tc>
      </w:tr>
    </w:tbl>
    <w:p w:rsidR="00C60FB1" w:rsidP="00CF7749">
      <w:pPr>
        <w:pStyle w:val="BodyText"/>
      </w:pPr>
    </w:p>
    <w:p w:rsidR="00C60FB1" w:rsidP="00CF7749">
      <w:pPr>
        <w:pStyle w:val="BodyText"/>
      </w:pPr>
    </w:p>
    <w:p w:rsidR="00000000" w:rsidRPr="00CF7749" w:rsidP="00CF7749">
      <w:pPr>
        <w:pStyle w:val="Heading1"/>
      </w:pPr>
      <w:bookmarkStart w:id="7" w:name="O_846709"/>
      <w:bookmarkEnd w:id="7"/>
      <w:r w:rsidRPr="00CF7749">
        <w:t>Foundation Skills</w:t>
      </w:r>
    </w:p>
    <w:p w:rsidR="00C60FB1" w:rsidP="00C60FB1">
      <w:pPr>
        <w:pStyle w:val="BodyText"/>
      </w:pPr>
      <w:r w:rsidRPr="00CF7749">
        <w:t>Foundation skills essential to performance are explicit in the performance criteria of this unit of competency.</w:t>
      </w:r>
    </w:p>
    <w:p w:rsidR="00000000" w:rsidRPr="00CF7749" w:rsidP="00CF7749">
      <w:pPr>
        <w:pStyle w:val="Heading1"/>
      </w:pPr>
      <w:bookmarkStart w:id="8" w:name="O_846710"/>
      <w:bookmarkEnd w:id="8"/>
      <w:r w:rsidRPr="00CF774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CF77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BodyText"/>
            </w:pPr>
            <w:r w:rsidRPr="00CF7749">
              <w:t>Range is restr</w:t>
            </w:r>
            <w:r w:rsidRPr="00CF7749">
              <w:t>icted to essential operating conditions and any other variables essential to the work environment.</w:t>
            </w:r>
          </w:p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Non-essential conditions can be found in the Companion Volume Implementation Guide.</w:t>
            </w:r>
          </w:p>
        </w:tc>
      </w:tr>
      <w:tr w:rsidTr="00CF77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Sites must include at least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ListBullet2"/>
            </w:pPr>
            <w:r w:rsidRPr="00CF7749">
              <w:t xml:space="preserve">customer site </w:t>
            </w:r>
          </w:p>
          <w:p w:rsidR="00000000" w:rsidRPr="00CF7749" w:rsidP="00CF7749">
            <w:pPr>
              <w:pStyle w:val="ListBullet2"/>
            </w:pPr>
            <w:r w:rsidRPr="00CF7749">
              <w:t>depot</w:t>
            </w:r>
            <w:r w:rsidRPr="00CF7749">
              <w:t xml:space="preserve"> </w:t>
            </w:r>
          </w:p>
          <w:p w:rsidR="00000000" w:rsidP="00CF7749">
            <w:pPr>
              <w:pStyle w:val="ListBullet2"/>
              <w:rPr>
                <w:lang w:val="en-NZ"/>
              </w:rPr>
            </w:pPr>
            <w:r w:rsidRPr="00CF7749">
              <w:t>terminal</w:t>
            </w:r>
          </w:p>
        </w:tc>
      </w:tr>
      <w:tr w:rsidTr="00CF77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WHS/OHS equipment fitted to a fuel tanker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ListBullet2"/>
            </w:pPr>
            <w:r w:rsidRPr="00CF7749">
              <w:t>breakdown triangles</w:t>
            </w:r>
          </w:p>
          <w:p w:rsidR="00000000" w:rsidRPr="00CF7749" w:rsidP="00CF7749">
            <w:pPr>
              <w:pStyle w:val="ListBullet2"/>
            </w:pPr>
            <w:r w:rsidRPr="00CF7749">
              <w:t>chemical resistant gloves</w:t>
            </w:r>
          </w:p>
          <w:p w:rsidR="00000000" w:rsidRPr="00CF7749" w:rsidP="00CF7749">
            <w:pPr>
              <w:pStyle w:val="ListBullet2"/>
            </w:pPr>
            <w:r w:rsidRPr="00CF7749">
              <w:t xml:space="preserve">emergency cones </w:t>
            </w:r>
          </w:p>
          <w:p w:rsidR="00000000" w:rsidRPr="00CF7749" w:rsidP="00CF7749">
            <w:pPr>
              <w:pStyle w:val="ListBullet2"/>
            </w:pPr>
            <w:r w:rsidRPr="00CF7749">
              <w:t>emergency information holder</w:t>
            </w:r>
          </w:p>
          <w:p w:rsidR="00000000" w:rsidRPr="00CF7749" w:rsidP="00CF7749">
            <w:pPr>
              <w:pStyle w:val="ListBullet2"/>
            </w:pPr>
            <w:r w:rsidRPr="00CF7749">
              <w:t>emergency shutdown controls</w:t>
            </w:r>
          </w:p>
          <w:p w:rsidR="00000000" w:rsidRPr="00CF7749" w:rsidP="00CF7749">
            <w:pPr>
              <w:pStyle w:val="ListBullet2"/>
            </w:pPr>
            <w:r w:rsidRPr="00CF7749">
              <w:t>eyewash kit</w:t>
            </w:r>
          </w:p>
          <w:p w:rsidR="00000000" w:rsidRPr="00CF7749" w:rsidP="00CF7749">
            <w:pPr>
              <w:pStyle w:val="ListBullet2"/>
            </w:pPr>
            <w:r w:rsidRPr="00CF7749">
              <w:t>fire extinguishers</w:t>
            </w:r>
          </w:p>
          <w:p w:rsidR="00000000" w:rsidP="00CF7749">
            <w:pPr>
              <w:pStyle w:val="ListBullet2"/>
              <w:rPr>
                <w:lang w:val="en-NZ"/>
              </w:rPr>
            </w:pPr>
            <w:r w:rsidRPr="00CF7749">
              <w:t>torch</w:t>
            </w:r>
          </w:p>
        </w:tc>
      </w:tr>
      <w:tr w:rsidTr="00CF77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Emergency response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ListBullet2"/>
            </w:pPr>
            <w:r w:rsidRPr="00CF7749">
              <w:t>emergency shutdown controls</w:t>
            </w:r>
          </w:p>
          <w:p w:rsidR="00000000" w:rsidRPr="00CF7749" w:rsidP="00CF7749">
            <w:pPr>
              <w:pStyle w:val="ListBullet2"/>
            </w:pPr>
            <w:r w:rsidRPr="00CF7749">
              <w:t>eyewash kit</w:t>
            </w:r>
          </w:p>
          <w:p w:rsidR="00000000" w:rsidRPr="00CF7749" w:rsidP="00CF7749">
            <w:pPr>
              <w:pStyle w:val="ListBullet2"/>
            </w:pPr>
            <w:r w:rsidRPr="00CF7749">
              <w:t xml:space="preserve">fire extinguisher </w:t>
            </w:r>
          </w:p>
          <w:p w:rsidR="00000000" w:rsidP="00CF7749">
            <w:pPr>
              <w:pStyle w:val="ListBullet2"/>
              <w:rPr>
                <w:lang w:val="en-NZ"/>
              </w:rPr>
            </w:pPr>
            <w:r w:rsidRPr="00CF7749">
              <w:t>spill kit</w:t>
            </w:r>
          </w:p>
        </w:tc>
      </w:tr>
      <w:tr w:rsidTr="00CF77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49">
            <w:pPr>
              <w:pStyle w:val="BodyText"/>
              <w:rPr>
                <w:lang w:val="en-NZ"/>
              </w:rPr>
            </w:pPr>
            <w:r w:rsidRPr="00CF7749">
              <w:t>Documentation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49" w:rsidP="00CF7749">
            <w:pPr>
              <w:pStyle w:val="ListBullet2"/>
            </w:pPr>
            <w:r w:rsidRPr="00CF7749">
              <w:t>emergency procedure guides</w:t>
            </w:r>
          </w:p>
          <w:p w:rsidR="00000000" w:rsidRPr="00CF7749" w:rsidP="00CF7749">
            <w:pPr>
              <w:pStyle w:val="ListBullet2"/>
            </w:pPr>
            <w:r w:rsidRPr="00CF7749">
              <w:t>shipping documentation</w:t>
            </w:r>
          </w:p>
          <w:p w:rsidR="00000000" w:rsidRPr="00CF7749" w:rsidP="00CF7749">
            <w:pPr>
              <w:pStyle w:val="ListBullet2"/>
            </w:pPr>
            <w:r w:rsidRPr="00CF7749">
              <w:t>state/ territory road rules</w:t>
            </w:r>
          </w:p>
          <w:p w:rsidR="00000000" w:rsidRPr="00CF7749" w:rsidP="00CF7749">
            <w:pPr>
              <w:pStyle w:val="ListBullet2"/>
            </w:pPr>
            <w:r w:rsidRPr="00CF7749">
              <w:t>TERP</w:t>
            </w:r>
          </w:p>
        </w:tc>
      </w:tr>
    </w:tbl>
    <w:p w:rsidR="00C60FB1" w:rsidP="00CF7749">
      <w:pPr>
        <w:pStyle w:val="BodyText"/>
      </w:pPr>
    </w:p>
    <w:p w:rsidR="00C60FB1" w:rsidP="00CF7749">
      <w:pPr>
        <w:pStyle w:val="BodyText"/>
      </w:pPr>
    </w:p>
    <w:p w:rsidR="00000000" w:rsidRPr="00CF7749" w:rsidP="00CF7749">
      <w:pPr>
        <w:pStyle w:val="Heading1"/>
      </w:pPr>
      <w:bookmarkStart w:id="9" w:name="O_846711"/>
      <w:bookmarkEnd w:id="9"/>
      <w:r w:rsidRPr="00CF7749">
        <w:t>Unit Mapping Information</w:t>
      </w:r>
    </w:p>
    <w:p w:rsidR="00C60FB1" w:rsidP="00C60FB1">
      <w:pPr>
        <w:pStyle w:val="BodyText"/>
      </w:pPr>
      <w:r w:rsidRPr="00CF7749">
        <w:t xml:space="preserve">This unit replaces but is </w:t>
      </w:r>
      <w:r w:rsidRPr="00CF7749">
        <w:rPr>
          <w:rStyle w:val="SpecialBold"/>
        </w:rPr>
        <w:t xml:space="preserve">not </w:t>
      </w:r>
      <w:r w:rsidRPr="00CF7749">
        <w:t>equivalent to TLIC4066A Operate fuel tanker.</w:t>
      </w:r>
    </w:p>
    <w:p w:rsidR="00000000" w:rsidRPr="00CF7749" w:rsidP="00CF7749">
      <w:pPr>
        <w:pStyle w:val="Heading1"/>
      </w:pPr>
      <w:bookmarkStart w:id="10" w:name="O_846718"/>
      <w:bookmarkEnd w:id="10"/>
      <w:r w:rsidRPr="00CF7749">
        <w:t>Links</w:t>
      </w:r>
    </w:p>
    <w:p w:rsidR="00000000" w:rsidRPr="00CF7749" w:rsidP="00C60FB1">
      <w:pPr>
        <w:pStyle w:val="BodyText"/>
      </w:pPr>
      <w:r w:rsidRPr="00CF77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24C6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F7749" w:rsidP="00CF7749"/>
    <w:sectPr w:rsidSect="00CF77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49" w:rsidRPr="00C60FB1" w:rsidP="00C60F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B1" w:rsidP="00CF7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60FB1" w:rsidP="00CF7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0FB1" w:rsidP="00CF77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749" w:rsidRPr="00C60FB1" w:rsidP="00C60F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FB1" w:rsidRPr="002D2AF8" w:rsidP="00CF7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TLIC0002 Operate fuel tanker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C60FB1" w:rsidP="00CF77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702D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E46F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7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7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7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7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7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7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7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7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7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7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7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749"/>
  </w:style>
  <w:style w:type="character" w:customStyle="1" w:styleId="Heading1Char">
    <w:name w:val="Heading 1 Char"/>
    <w:basedOn w:val="DefaultParagraphFont"/>
    <w:link w:val="Heading1"/>
    <w:rsid w:val="00CF77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7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7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7749"/>
    <w:rPr>
      <w:b/>
      <w:spacing w:val="0"/>
    </w:rPr>
  </w:style>
  <w:style w:type="paragraph" w:styleId="ListBullet2">
    <w:name w:val="List Bullet 2"/>
    <w:basedOn w:val="List2"/>
    <w:rsid w:val="00CF7749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77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7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77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7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7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7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7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7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7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7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7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7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7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7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7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7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7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77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77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7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7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7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77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7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7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7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7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7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7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7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7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7749"/>
    <w:rPr>
      <w:i/>
    </w:rPr>
  </w:style>
  <w:style w:type="paragraph" w:styleId="Caption">
    <w:name w:val="caption"/>
    <w:basedOn w:val="BodyText"/>
    <w:next w:val="Normal"/>
    <w:qFormat/>
    <w:rsid w:val="00CF77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7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7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749"/>
  </w:style>
  <w:style w:type="paragraph" w:styleId="TableofFigures">
    <w:name w:val="table of figures"/>
    <w:basedOn w:val="Normal"/>
    <w:next w:val="Normal"/>
    <w:semiHidden/>
    <w:rsid w:val="00CF77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7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7749"/>
    <w:rPr>
      <w:rFonts w:ascii="Wingdings" w:hAnsi="Wingdings"/>
    </w:rPr>
  </w:style>
  <w:style w:type="paragraph" w:customStyle="1" w:styleId="TableHeading">
    <w:name w:val="Table Heading"/>
    <w:basedOn w:val="HeadingBase"/>
    <w:rsid w:val="00CF77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749"/>
    <w:rPr>
      <w:color w:val="0033CC"/>
      <w:u w:val="none"/>
    </w:rPr>
  </w:style>
  <w:style w:type="paragraph" w:customStyle="1" w:styleId="BodyTextRight">
    <w:name w:val="Body Text Right"/>
    <w:basedOn w:val="BodyText"/>
    <w:rsid w:val="00CF77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7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7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7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7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7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749"/>
    <w:rPr>
      <w:sz w:val="32"/>
    </w:rPr>
  </w:style>
  <w:style w:type="paragraph" w:customStyle="1" w:styleId="HeadingProcedure">
    <w:name w:val="Heading Procedure"/>
    <w:basedOn w:val="HeadingBase"/>
    <w:next w:val="Normal"/>
    <w:rsid w:val="00CF77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749"/>
    <w:pPr>
      <w:spacing w:before="60" w:after="60"/>
    </w:pPr>
  </w:style>
  <w:style w:type="paragraph" w:styleId="ListContinue">
    <w:name w:val="List Continue"/>
    <w:basedOn w:val="List"/>
    <w:rsid w:val="00CF7749"/>
    <w:pPr>
      <w:ind w:firstLine="0"/>
    </w:pPr>
  </w:style>
  <w:style w:type="paragraph" w:customStyle="1" w:styleId="ListNote">
    <w:name w:val="List Note"/>
    <w:basedOn w:val="List"/>
    <w:rsid w:val="00CF77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7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7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749"/>
    <w:rPr>
      <w:rFonts w:ascii="Courier New" w:hAnsi="Courier New"/>
    </w:rPr>
  </w:style>
  <w:style w:type="paragraph" w:customStyle="1" w:styleId="NoteBullet">
    <w:name w:val="Note Bullet"/>
    <w:basedOn w:val="Note"/>
    <w:rsid w:val="00CF77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7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7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7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7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77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7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749"/>
    <w:rPr>
      <w:b/>
      <w:smallCaps/>
    </w:rPr>
  </w:style>
  <w:style w:type="paragraph" w:customStyle="1" w:styleId="TableListNumber">
    <w:name w:val="Table List Number"/>
    <w:basedOn w:val="ListNumber"/>
    <w:rsid w:val="00CF77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7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749"/>
    <w:pPr>
      <w:numPr>
        <w:numId w:val="8"/>
      </w:numPr>
    </w:pPr>
  </w:style>
  <w:style w:type="paragraph" w:customStyle="1" w:styleId="ListAlpha2">
    <w:name w:val="List Alpha 2"/>
    <w:basedOn w:val="List2"/>
    <w:rsid w:val="00CF7749"/>
    <w:pPr>
      <w:numPr>
        <w:numId w:val="7"/>
      </w:numPr>
    </w:pPr>
  </w:style>
  <w:style w:type="paragraph" w:styleId="List2">
    <w:name w:val="List 2"/>
    <w:basedOn w:val="BodyText"/>
    <w:rsid w:val="00CF77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7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7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7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7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7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7749"/>
    <w:pPr>
      <w:numPr>
        <w:numId w:val="3"/>
      </w:numPr>
    </w:pPr>
  </w:style>
  <w:style w:type="paragraph" w:styleId="ListContinue2">
    <w:name w:val="List Continue 2"/>
    <w:basedOn w:val="List2"/>
    <w:rsid w:val="00CF7749"/>
    <w:pPr>
      <w:ind w:firstLine="0"/>
    </w:pPr>
  </w:style>
  <w:style w:type="paragraph" w:styleId="ListContinue3">
    <w:name w:val="List Continue 3"/>
    <w:basedOn w:val="List3"/>
    <w:rsid w:val="00CF7749"/>
    <w:pPr>
      <w:ind w:left="1021" w:firstLine="0"/>
    </w:pPr>
  </w:style>
  <w:style w:type="paragraph" w:styleId="ListContinue4">
    <w:name w:val="List Continue 4"/>
    <w:basedOn w:val="List4"/>
    <w:rsid w:val="00CF7749"/>
    <w:pPr>
      <w:ind w:firstLine="0"/>
    </w:pPr>
  </w:style>
  <w:style w:type="paragraph" w:styleId="ListContinue5">
    <w:name w:val="List Continue 5"/>
    <w:basedOn w:val="List5"/>
    <w:rsid w:val="00CF7749"/>
    <w:pPr>
      <w:ind w:firstLine="0"/>
    </w:pPr>
  </w:style>
  <w:style w:type="paragraph" w:styleId="ListNumber3">
    <w:name w:val="List Number 3"/>
    <w:basedOn w:val="List3"/>
    <w:rsid w:val="00CF7749"/>
    <w:pPr>
      <w:numPr>
        <w:numId w:val="4"/>
      </w:numPr>
    </w:pPr>
  </w:style>
  <w:style w:type="paragraph" w:styleId="ListNumber4">
    <w:name w:val="List Number 4"/>
    <w:basedOn w:val="List4"/>
    <w:rsid w:val="00CF7749"/>
    <w:pPr>
      <w:numPr>
        <w:numId w:val="5"/>
      </w:numPr>
    </w:pPr>
  </w:style>
  <w:style w:type="paragraph" w:styleId="ListNumber5">
    <w:name w:val="List Number 5"/>
    <w:basedOn w:val="List5"/>
    <w:rsid w:val="00CF7749"/>
    <w:pPr>
      <w:numPr>
        <w:numId w:val="6"/>
      </w:numPr>
    </w:pPr>
  </w:style>
  <w:style w:type="paragraph" w:styleId="BlockText">
    <w:name w:val="Block Text"/>
    <w:basedOn w:val="Normal"/>
    <w:rsid w:val="00CF77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7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749"/>
    <w:rPr>
      <w:sz w:val="16"/>
      <w:vertAlign w:val="superscript"/>
    </w:rPr>
  </w:style>
  <w:style w:type="character" w:customStyle="1" w:styleId="Symbols">
    <w:name w:val="Symbols"/>
    <w:basedOn w:val="DefaultParagraphFont"/>
    <w:rsid w:val="00CF7749"/>
    <w:rPr>
      <w:rFonts w:ascii="Symbol" w:hAnsi="Symbol"/>
    </w:rPr>
  </w:style>
  <w:style w:type="character" w:customStyle="1" w:styleId="MenuOptions">
    <w:name w:val="Menu Options"/>
    <w:basedOn w:val="DefaultParagraphFont"/>
    <w:rsid w:val="00CF77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749"/>
    <w:rPr>
      <w:b/>
    </w:rPr>
  </w:style>
  <w:style w:type="character" w:customStyle="1" w:styleId="Underlined">
    <w:name w:val="Underlined"/>
    <w:basedOn w:val="DefaultParagraphFont"/>
    <w:rsid w:val="00CF7749"/>
    <w:rPr>
      <w:u w:val="single"/>
    </w:rPr>
  </w:style>
  <w:style w:type="paragraph" w:customStyle="1" w:styleId="TableBodyTextRight">
    <w:name w:val="Table Body Text Right"/>
    <w:basedOn w:val="TableBodyText"/>
    <w:rsid w:val="00CF77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749"/>
    <w:rPr>
      <w:sz w:val="18"/>
    </w:rPr>
  </w:style>
  <w:style w:type="paragraph" w:customStyle="1" w:styleId="BodySmallRight">
    <w:name w:val="Body Small Right"/>
    <w:basedOn w:val="BodyTextRight"/>
    <w:rsid w:val="00CF7749"/>
    <w:rPr>
      <w:sz w:val="18"/>
      <w:szCs w:val="18"/>
    </w:rPr>
  </w:style>
  <w:style w:type="paragraph" w:customStyle="1" w:styleId="MarginEdition">
    <w:name w:val="Margin Edition"/>
    <w:basedOn w:val="MarginNote"/>
    <w:rsid w:val="00CF77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749"/>
    <w:rPr>
      <w:sz w:val="2"/>
      <w:szCs w:val="2"/>
    </w:rPr>
  </w:style>
  <w:style w:type="character" w:customStyle="1" w:styleId="Small">
    <w:name w:val="Small"/>
    <w:basedOn w:val="DefaultParagraphFont"/>
    <w:rsid w:val="00CF7749"/>
    <w:rPr>
      <w:sz w:val="16"/>
    </w:rPr>
  </w:style>
  <w:style w:type="paragraph" w:customStyle="1" w:styleId="WideTable">
    <w:name w:val="Wide Table"/>
    <w:basedOn w:val="Normal"/>
    <w:rsid w:val="00CF77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749"/>
  </w:style>
  <w:style w:type="paragraph" w:styleId="Quote">
    <w:name w:val="Quote"/>
    <w:basedOn w:val="Heading1"/>
    <w:link w:val="QuoteChar"/>
    <w:qFormat/>
    <w:rsid w:val="00CF77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7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749"/>
    <w:pPr>
      <w:pageBreakBefore/>
    </w:pPr>
  </w:style>
  <w:style w:type="paragraph" w:customStyle="1" w:styleId="Border">
    <w:name w:val="Border"/>
    <w:basedOn w:val="Normal"/>
    <w:qFormat/>
    <w:rsid w:val="00CF77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7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7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7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7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7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7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7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7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749"/>
    <w:rPr>
      <w:u w:val="single"/>
    </w:rPr>
  </w:style>
  <w:style w:type="character" w:customStyle="1" w:styleId="BoldandItalics">
    <w:name w:val="Bold and Italics"/>
    <w:qFormat/>
    <w:rsid w:val="00CF7749"/>
    <w:rPr>
      <w:b/>
      <w:i/>
      <w:u w:val="none"/>
    </w:rPr>
  </w:style>
  <w:style w:type="paragraph" w:styleId="BalloonText">
    <w:name w:val="Balloon Text"/>
    <w:basedOn w:val="Normal"/>
    <w:link w:val="BalloonTextChar"/>
    <w:rsid w:val="00CF77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7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7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7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7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7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749"/>
    <w:pPr>
      <w:spacing w:before="0" w:after="0"/>
    </w:pPr>
  </w:style>
  <w:style w:type="paragraph" w:customStyle="1" w:styleId="BodyTextBold">
    <w:name w:val="Body Text Bold"/>
    <w:basedOn w:val="BodyText"/>
    <w:qFormat/>
    <w:rsid w:val="00CF7749"/>
    <w:rPr>
      <w:b/>
    </w:rPr>
  </w:style>
  <w:style w:type="character" w:styleId="Hyperlink">
    <w:name w:val="Hyperlink"/>
    <w:basedOn w:val="DefaultParagraphFont"/>
    <w:uiPriority w:val="99"/>
    <w:unhideWhenUsed/>
    <w:rsid w:val="00C60F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1417</Words>
  <Characters>8417</Characters>
  <Application>Microsoft Office Word</Application>
  <DocSecurity>0</DocSecurity>
  <Lines>443</Lines>
  <Paragraphs>228</Paragraphs>
  <ScaleCrop>false</ScaleCrop>
  <Company>Author-it Software Corporation Ltd.</Company>
  <LinksUpToDate>false</LinksUpToDate>
  <CharactersWithSpaces>9606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TLIC0002 Operate fuel tanker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2021-04-12T02:47:00Z</dcterms:created>
  <dcterms:modified xsi:type="dcterms:W3CDTF">2021-04-12T02:47:00Z</dcterms:modified>
</cp:coreProperties>
</file>