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E61" w:rsidP="00EF2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TLIC0001 Operate chemical tanker</w:t>
      </w:r>
      <w:r>
        <w:fldChar w:fldCharType="end"/>
      </w:r>
    </w:p>
    <w:p w:rsidR="00EF2E61" w:rsidP="00EF2E61">
      <w:pPr>
        <w:pStyle w:val="Version"/>
        <w:sectPr w:rsidSect="00A31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306" w:rsidP="00A31306">
      <w:pPr>
        <w:pStyle w:val="SuperHeading"/>
      </w:pPr>
      <w:r w:rsidRPr="00A31306">
        <w:t>TLIC0001 Operate chemical tanker</w:t>
      </w:r>
    </w:p>
    <w:p w:rsidR="00000000" w:rsidRPr="00A31306" w:rsidP="00A31306">
      <w:pPr>
        <w:pStyle w:val="Heading1"/>
      </w:pPr>
      <w:bookmarkStart w:id="1" w:name="O_846684"/>
      <w:bookmarkEnd w:id="1"/>
      <w:r w:rsidRPr="00A31306">
        <w:t>Modification History</w:t>
      </w:r>
    </w:p>
    <w:p w:rsidR="00EF2E61" w:rsidP="00EF2E61">
      <w:pPr>
        <w:pStyle w:val="BodyText"/>
      </w:pPr>
      <w:r w:rsidRPr="00A31306">
        <w:t>Release 1. This is the first release of this unit of competency in the TLI Transport and Logistics Training Package.</w:t>
      </w:r>
    </w:p>
    <w:p w:rsidR="00000000" w:rsidRPr="00A31306" w:rsidP="00A31306">
      <w:pPr>
        <w:pStyle w:val="Heading1"/>
      </w:pPr>
      <w:bookmarkStart w:id="2" w:name="O_846685"/>
      <w:bookmarkEnd w:id="2"/>
      <w:r w:rsidRPr="00A3130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31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t>This unit involves the skills and knowledge required to operate a chemical tanker in acc</w:t>
            </w:r>
            <w:r w:rsidRPr="00A31306">
              <w:t xml:space="preserve">ordance with the current Australian Dangerous Goods (ADG) Code, mass and loading regulations, relevant state/territory road traffic authority vehicle licence requirements and regulations for heavy vehicles. </w:t>
            </w:r>
          </w:p>
          <w:p w:rsidR="00000000" w:rsidRPr="00A31306" w:rsidP="00A31306">
            <w:pPr>
              <w:pStyle w:val="BodyText"/>
            </w:pPr>
            <w:r w:rsidRPr="00A31306">
              <w:t>It includes identifying properties and hazards o</w:t>
            </w:r>
            <w:r w:rsidRPr="00A31306">
              <w:t xml:space="preserve">f chemicals being transported, and features of chemical tankers that transport chemicals. It also includes carrying out a pre-trip inspection, positioning the chemical tanker and loading it with chemicals, and transporting and delivering a load safely and </w:t>
            </w:r>
            <w:r w:rsidRPr="00A31306">
              <w:t>efficiently to a customer site.</w:t>
            </w:r>
          </w:p>
          <w:p w:rsidR="00000000" w:rsidRPr="00A31306" w:rsidP="00A31306">
            <w:pPr>
              <w:pStyle w:val="BodyText"/>
            </w:pPr>
            <w:r w:rsidRPr="00A31306">
              <w:t xml:space="preserve">A chemical tanker is defined as any bulk road transport vehicle authorised to carry placarded chemical loads. </w:t>
            </w:r>
          </w:p>
          <w:p w:rsidR="00000000" w:rsidRPr="00A31306" w:rsidP="00A31306">
            <w:pPr>
              <w:pStyle w:val="BodyText"/>
            </w:pPr>
            <w:r w:rsidRPr="00A31306">
              <w:t>A chemical tanker is operated with limited or minimum supervision, with accountability and responsibility for sel</w:t>
            </w:r>
            <w:r w:rsidRPr="00A31306">
              <w:t>f and others in achieving the prescribed outcomes.</w:t>
            </w:r>
          </w:p>
          <w:p w:rsidR="00000000" w:rsidRPr="00A31306" w:rsidP="00A31306">
            <w:pPr>
              <w:pStyle w:val="BodyText"/>
            </w:pPr>
            <w:r w:rsidRPr="00A31306">
              <w:t>No licensing, legislative or certification requirements apply to this unit at the time of publication.</w:t>
            </w:r>
          </w:p>
        </w:tc>
      </w:tr>
    </w:tbl>
    <w:p w:rsidR="00EF2E61" w:rsidP="00A31306">
      <w:pPr>
        <w:pStyle w:val="BodyText"/>
      </w:pPr>
    </w:p>
    <w:p w:rsidR="00EF2E61" w:rsidP="00A31306">
      <w:pPr>
        <w:pStyle w:val="BodyText"/>
      </w:pPr>
    </w:p>
    <w:p w:rsidR="00000000" w:rsidRPr="00A31306" w:rsidP="00A31306">
      <w:pPr>
        <w:pStyle w:val="Heading1"/>
      </w:pPr>
      <w:bookmarkStart w:id="3" w:name="O_846686"/>
      <w:bookmarkEnd w:id="3"/>
      <w:r w:rsidRPr="00A31306">
        <w:t>Pre-requisite Unit</w:t>
      </w:r>
    </w:p>
    <w:p w:rsidR="00EF2E61" w:rsidP="00EF2E61">
      <w:pPr>
        <w:pStyle w:val="BodyText"/>
      </w:pPr>
      <w:r w:rsidRPr="00A31306">
        <w:t>Not applicable.</w:t>
      </w:r>
    </w:p>
    <w:p w:rsidR="00000000" w:rsidRPr="00A31306" w:rsidP="00A31306">
      <w:pPr>
        <w:pStyle w:val="Heading1"/>
      </w:pPr>
      <w:bookmarkStart w:id="4" w:name="O_846687"/>
      <w:bookmarkEnd w:id="4"/>
      <w:r w:rsidRPr="00A31306">
        <w:t>Competency Field</w:t>
      </w:r>
    </w:p>
    <w:p w:rsidR="00EF2E61" w:rsidP="00EF2E61">
      <w:pPr>
        <w:pStyle w:val="BodyText"/>
      </w:pPr>
      <w:r w:rsidRPr="00A31306">
        <w:t xml:space="preserve">C – Vehicle </w:t>
      </w:r>
      <w:r w:rsidRPr="00A31306">
        <w:t>Operation</w:t>
      </w:r>
    </w:p>
    <w:p w:rsidR="00000000" w:rsidRPr="00A31306" w:rsidP="00A31306">
      <w:pPr>
        <w:pStyle w:val="Heading1"/>
      </w:pPr>
      <w:bookmarkStart w:id="5" w:name="O_846688"/>
      <w:bookmarkEnd w:id="5"/>
      <w:r w:rsidRPr="00A31306">
        <w:t>Unit Sector</w:t>
      </w:r>
    </w:p>
    <w:p w:rsidR="00EF2E61" w:rsidP="00EF2E61">
      <w:pPr>
        <w:pStyle w:val="BodyText"/>
      </w:pPr>
      <w:r w:rsidRPr="00A31306">
        <w:t>Not applicable.</w:t>
      </w:r>
    </w:p>
    <w:p w:rsidR="00000000" w:rsidRPr="00A31306" w:rsidP="00A31306">
      <w:pPr>
        <w:pStyle w:val="Heading1"/>
      </w:pPr>
      <w:bookmarkStart w:id="6" w:name="O_846689"/>
      <w:bookmarkEnd w:id="6"/>
      <w:r w:rsidRPr="00A3130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rPr>
                <w:rStyle w:val="SpecialBold"/>
              </w:rPr>
              <w:t>PERFORMANCE CRITERIA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Performance criteria describe the performance needed to demonstrate achievement of the element.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rPr>
                <w:rStyle w:val="SpecialBold"/>
              </w:rPr>
              <w:t>Identify properties and hazards of chemicals being transported and features of chemical tankers that transport chemicals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UN number, product class, its p</w:t>
            </w:r>
            <w:r w:rsidRPr="00A31306">
              <w:t>acking group and any sub-risks of fuel being transported are identified in accordance with emergency response documentation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Approved handler and approved filler requirements for chemicals being transported are identified in accordance with regulatory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Properties of chemicals being transported are identified in accordance with emergency response documentation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Hazards associated with chemicals being transported are identified in accordance with emergency response documentation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Hazardous atmosphere zones are identified in accordance with organisational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Circumstances in which a chemical tanker may be left unattended are explained in accordance with current ADG Code and company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 xml:space="preserve">Functions of equipment fitted to a chemical tanker are identified in relation to safe transfer and transport of </w:t>
            </w:r>
            <w:r w:rsidRPr="00A31306">
              <w:t>chemicals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Factors that cause static electricity and ways of minimising risks associated with it are identified in accordance with organisational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rPr>
                <w:rStyle w:val="SpecialBold"/>
              </w:rPr>
              <w:t>Carry out a pre-trip inspection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Vehicle is inspected to confirm tanker 5-yearly hydrostatic test is current, is tagged and compliant with current ADG Code, and meets company procedures; and non-compliant vehicles or trailers are repaired or reported in accordance with company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Vehicle load transfer equipment is inspected to confirm security and state of repair, and all hoses are tested and tagged in accordance with current ADG Code; and non-compliant equipment is repaired or reported in accordance with company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Safety equipment is inspected to confirm it meets organisational and current ADG Code requirements, is accessible and properly maintained, stowed and secured; and unserviceable items, or items with expired test dates, are replaced or reported in acc</w:t>
            </w:r>
            <w:r w:rsidRPr="00A31306">
              <w:t>ordance with company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Personal protective equipment (PPE) is inspected to confirm it is available, ready for use, and meets current ADG Code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Dangerous goods placards are inspected to confirm they are correct for the load being carried and are displayed in accordance with current ADG Code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rPr>
                <w:rStyle w:val="SpecialBold"/>
              </w:rPr>
              <w:t>Position chemical tanker and prepare to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Vehicle is driven into loading site in accordance with s</w:t>
            </w:r>
            <w:r w:rsidRPr="00A31306">
              <w:t>ite procedures, using PPE that complies with organisational and regulatory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Vehicle is positioned without injury to people or damage to property and in a position that enables loading to be carried out in accordance with site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Park brake is applied, engine is turned off and battery is isolated as required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Locations of emergency equipment and emergency procedures are identified before loading commences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Product type and quantity to be loaded are checked to con</w:t>
            </w:r>
            <w:r w:rsidRPr="00A31306">
              <w:t>firm they are in accordance with delivery documentation and are within safe carrying capacity and gross weight limitations of vehicle, and discrepancies are rectified in accordance with company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Product transfer equipment is connected in a</w:t>
            </w:r>
            <w:r w:rsidRPr="00A31306">
              <w:t>ccordance with organisational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rPr>
                <w:rStyle w:val="SpecialBold"/>
              </w:rPr>
              <w:t>Load chemical tanker with chemicals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Site procedures are implemented for commencement of loading process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Products to be loaded are checked for compatibility and correct segregation, also taking account of product sub-risks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Products to be loaded are checked to ensure they are compatible with tanker and that tanker is fit for purpose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Loading process and fill levels are monitored in accordance with company and site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Vehicle is safely loaded with chemicals using only approved equipment, and in accordance with organisational and regulatory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At completio</w:t>
            </w:r>
            <w:r w:rsidRPr="00A31306">
              <w:t>n of loading process, all valves on vehicle and load-out facility are closed and where site procedures specify, all transfer equipment is vented and/or depressurised before being disconnected and stowed, with all equipment secured in accordance with site a</w:t>
            </w:r>
            <w:r w:rsidRPr="00A31306">
              <w:t>nd company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Loaded vehicle is confirmed as being within legal weight limitations and in compliance with company and regulatory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Loaded vehicle is inspected pre-departure to ensure all hoses, pipes and cables are disconnected and secure, brake interlock is deactivated as required, and obstacles are cleared in accordance with company and site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Site is restored to a c</w:t>
            </w:r>
            <w:r w:rsidRPr="00A31306">
              <w:t>lean and tidy condition in accordance with site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Vehicle is moved from loading area without damage to property or injury to people and in accordance with site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Delivery documentation is completed, checked, and secured in</w:t>
            </w:r>
            <w:r w:rsidRPr="00A31306">
              <w:t xml:space="preserve"> vehicle in accordance with regulatory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4.12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Vehicle and tanker are checked to ensure correct placarding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rPr>
                <w:rStyle w:val="SpecialBold"/>
              </w:rPr>
              <w:t>Transport load safely and efficiently to customer 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Routes are planned to avoid congested areas, tunnels or areas where people may congregate and to maximise efficiency between delivery sites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Prescribed routes are followed in accordance with organisational requirements, and courtesy and professionali</w:t>
            </w:r>
            <w:r w:rsidRPr="00A31306">
              <w:t>sm is exhibited toward other road users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Tanker is driven and manoeuvred in accordance with legal requirements, taking into consideration vehicle stability and prevailing environmental conditions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Eco-driving techniques are applied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Action is taken to deal with traffic delays and diversions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Legislative and organisational procedures are adhered to in driving, parking and leaving tanker standing, or when tanker breaks down or stops on a road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rPr>
                <w:rStyle w:val="SpecialBold"/>
              </w:rPr>
              <w:t>Deliver load of chemicals to customer 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Pre-delivery assessment is made before entering delivery site, and site features that constitute a hazard and/or prevent delivery are rectified or reported in accordance with organisational and site requiremen</w:t>
            </w:r>
            <w:r w:rsidRPr="00A31306">
              <w:t>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Site instructions and/or restrictions are complied with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Vehicle is manoeuvred and positioned in such a way that product can be delivered efficiently and safely, with park brake applied and engine, unless required for pumping, turned off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PPE is used in accordance with organisational and regulatory requirements and steps are taken to apply personal safety measures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Worksite is marked with signs and/or cones and vehicle is remained with, and delivery and potential hazards are mana</w:t>
            </w:r>
            <w:r w:rsidRPr="00A31306">
              <w:t>ged in accordance with organisational and site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Visible receiving vessel and/or components are checked for damage, and contents are checked to ensure sufficient ullage exists for delivery, with any deficiencies reported or actioned in ac</w:t>
            </w:r>
            <w:r w:rsidRPr="00A31306">
              <w:t>cordance with company and site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Preparation for delivery is consistent with organisational and site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Product type and quantity are confirmed against delivery documents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Delivery is undertaken in line with product being delivered, company and site procedures, and special delivery instructions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Gauges are checked as required, valves are opened and closed in correct sequence, and hoses and connections are visually che</w:t>
            </w:r>
            <w:r w:rsidRPr="00A31306">
              <w:t>cked for leaks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At completion of delivery, product transfer equipment is disconnected in accordance with product type, and company and site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Site is secured and restored to a clean and tidy condi</w:t>
            </w:r>
            <w:r w:rsidRPr="00A31306">
              <w:t>tion in accordance with site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Delivery documentation is completed to reflect changes in vehicle load and receiving vessel, and distributed in accordance with organisational and regulatory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6.14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Vehicle is inspected pre-depa</w:t>
            </w:r>
            <w:r w:rsidRPr="00A31306">
              <w:t>rture in accordance with organisational requirements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6.15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Vehicle is driven from site safely and in accordance with site and organisational procedures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rPr>
                <w:rStyle w:val="SpecialBold"/>
              </w:rPr>
              <w:t>Apply driver emergency procedures in an emergency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Procedures for emergencies during loading and unloading are implemented in accordance with emergency response documentation and organisational transport emergency response plan (TERP)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Procedures for emergencies in transit are identified in accordanc</w:t>
            </w:r>
            <w:r w:rsidRPr="00A31306">
              <w:t>e with emergency response documentation and organisational TERP</w:t>
            </w:r>
          </w:p>
        </w:tc>
      </w:tr>
      <w:tr w:rsidTr="00EF2E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t>Emergency response documentation and organisational requirements are implemented in initial responses to a person exposed to chemicals being transported</w:t>
            </w:r>
          </w:p>
        </w:tc>
      </w:tr>
    </w:tbl>
    <w:p w:rsidR="00EF2E61" w:rsidP="00A31306">
      <w:pPr>
        <w:pStyle w:val="BodyText"/>
      </w:pPr>
    </w:p>
    <w:p w:rsidR="00EF2E61" w:rsidP="00A31306">
      <w:pPr>
        <w:pStyle w:val="BodyText"/>
      </w:pPr>
    </w:p>
    <w:p w:rsidR="00000000" w:rsidRPr="00A31306" w:rsidP="00A31306">
      <w:pPr>
        <w:pStyle w:val="Heading1"/>
      </w:pPr>
      <w:bookmarkStart w:id="7" w:name="O_846690"/>
      <w:bookmarkEnd w:id="7"/>
      <w:r w:rsidRPr="00A31306">
        <w:t>Foundation Skills</w:t>
      </w:r>
    </w:p>
    <w:p w:rsidR="00EF2E61" w:rsidP="00EF2E61">
      <w:pPr>
        <w:pStyle w:val="BodyText"/>
      </w:pPr>
      <w:r w:rsidRPr="00A31306">
        <w:t>Foundation skills essential to performance are explicit in the performance criteria of this unit of competency.</w:t>
      </w:r>
    </w:p>
    <w:p w:rsidR="00000000" w:rsidRPr="00A31306" w:rsidP="00A31306">
      <w:pPr>
        <w:pStyle w:val="Heading1"/>
      </w:pPr>
      <w:bookmarkStart w:id="8" w:name="O_846691"/>
      <w:bookmarkEnd w:id="8"/>
      <w:r w:rsidRPr="00A3130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3"/>
        <w:gridCol w:w="6790"/>
        <w:gridCol w:w="255"/>
      </w:tblGrid>
      <w:tr w:rsidTr="00A31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BodyText"/>
            </w:pPr>
            <w:r w:rsidRPr="00A31306">
              <w:t xml:space="preserve">Range is restricted to essential operating conditions and any other variables essential </w:t>
            </w:r>
            <w:r w:rsidRPr="00A31306">
              <w:t>to the work environment.</w:t>
            </w:r>
          </w:p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Non-essential conditions can be found in the Companion Volume Implementation Guide.</w:t>
            </w:r>
          </w:p>
        </w:tc>
      </w:tr>
      <w:tr w:rsidTr="00A31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55" w:type="dxa"/>
        </w:trPr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Equipment fitted to a chemical tanker must include:</w:t>
            </w:r>
          </w:p>
        </w:tc>
        <w:tc>
          <w:tcPr>
            <w:tcW w:w="6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ListBullet2"/>
            </w:pPr>
            <w:r w:rsidRPr="00A31306">
              <w:t>breakdown triangles</w:t>
            </w:r>
          </w:p>
          <w:p w:rsidR="00000000" w:rsidRPr="00A31306" w:rsidP="00A31306">
            <w:pPr>
              <w:pStyle w:val="ListBullet2"/>
            </w:pPr>
            <w:r w:rsidRPr="00A31306">
              <w:t>chemical resistant gloves</w:t>
            </w:r>
          </w:p>
          <w:p w:rsidR="00000000" w:rsidRPr="00A31306" w:rsidP="00A31306">
            <w:pPr>
              <w:pStyle w:val="ListBullet2"/>
            </w:pPr>
            <w:r w:rsidRPr="00A31306">
              <w:t>emergency cones</w:t>
            </w:r>
          </w:p>
          <w:p w:rsidR="00000000" w:rsidRPr="00A31306" w:rsidP="00A31306">
            <w:pPr>
              <w:pStyle w:val="ListBullet2"/>
            </w:pPr>
            <w:r w:rsidRPr="00A31306">
              <w:t>emergency information holder</w:t>
            </w:r>
          </w:p>
          <w:p w:rsidR="00000000" w:rsidRPr="00A31306" w:rsidP="00A31306">
            <w:pPr>
              <w:pStyle w:val="ListBullet2"/>
            </w:pPr>
            <w:r w:rsidRPr="00A31306">
              <w:t>emergency shutdown controls</w:t>
            </w:r>
          </w:p>
          <w:p w:rsidR="00000000" w:rsidRPr="00A31306" w:rsidP="00A31306">
            <w:pPr>
              <w:pStyle w:val="ListBullet2"/>
            </w:pPr>
            <w:r w:rsidRPr="00A31306">
              <w:t>eyewash kit</w:t>
            </w:r>
          </w:p>
          <w:p w:rsidR="00000000" w:rsidRPr="00A31306" w:rsidP="00A31306">
            <w:pPr>
              <w:pStyle w:val="ListBullet2"/>
            </w:pPr>
            <w:r w:rsidRPr="00A31306">
              <w:t>fire extinguishers</w:t>
            </w:r>
          </w:p>
          <w:p w:rsidR="00000000" w:rsidP="00A31306">
            <w:pPr>
              <w:pStyle w:val="ListBullet2"/>
              <w:rPr>
                <w:lang w:val="en-NZ"/>
              </w:rPr>
            </w:pPr>
            <w:r w:rsidRPr="00A31306">
              <w:t>torch</w:t>
            </w:r>
          </w:p>
        </w:tc>
      </w:tr>
      <w:tr w:rsidTr="00A31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55" w:type="dxa"/>
        </w:trPr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 xml:space="preserve">Loading and unloading sites must include at least one of the following: </w:t>
            </w:r>
          </w:p>
        </w:tc>
        <w:tc>
          <w:tcPr>
            <w:tcW w:w="6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ListBullet2"/>
            </w:pPr>
            <w:r w:rsidRPr="00A31306">
              <w:t>customer site</w:t>
            </w:r>
          </w:p>
          <w:p w:rsidR="00000000" w:rsidRPr="00A31306" w:rsidP="00A31306">
            <w:pPr>
              <w:pStyle w:val="ListBullet2"/>
            </w:pPr>
            <w:r w:rsidRPr="00A31306">
              <w:t>depot</w:t>
            </w:r>
          </w:p>
          <w:p w:rsidR="00000000" w:rsidP="00A31306">
            <w:pPr>
              <w:pStyle w:val="ListBullet2"/>
              <w:rPr>
                <w:lang w:val="en-NZ"/>
              </w:rPr>
            </w:pPr>
            <w:r w:rsidRPr="00A31306">
              <w:t>terminal</w:t>
            </w:r>
          </w:p>
        </w:tc>
      </w:tr>
      <w:tr w:rsidTr="00A31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55" w:type="dxa"/>
        </w:trPr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>Emergency response equipment must include:</w:t>
            </w:r>
          </w:p>
        </w:tc>
        <w:tc>
          <w:tcPr>
            <w:tcW w:w="6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ListBullet2"/>
            </w:pPr>
            <w:r w:rsidRPr="00A31306">
              <w:t xml:space="preserve">emergency shutdown controls </w:t>
            </w:r>
          </w:p>
          <w:p w:rsidR="00000000" w:rsidRPr="00A31306" w:rsidP="00A31306">
            <w:pPr>
              <w:pStyle w:val="ListBullet2"/>
            </w:pPr>
            <w:r w:rsidRPr="00A31306">
              <w:t>eyewash kit</w:t>
            </w:r>
          </w:p>
          <w:p w:rsidR="00000000" w:rsidRPr="00A31306" w:rsidP="00A31306">
            <w:pPr>
              <w:pStyle w:val="ListBullet2"/>
            </w:pPr>
            <w:r w:rsidRPr="00A31306">
              <w:t xml:space="preserve">fire extinguisher </w:t>
            </w:r>
          </w:p>
          <w:p w:rsidR="00000000" w:rsidP="00A31306">
            <w:pPr>
              <w:pStyle w:val="ListBullet2"/>
              <w:rPr>
                <w:lang w:val="en-NZ"/>
              </w:rPr>
            </w:pPr>
            <w:r w:rsidRPr="00A31306">
              <w:t>spill kit</w:t>
            </w:r>
          </w:p>
        </w:tc>
      </w:tr>
      <w:tr w:rsidTr="00A31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55" w:type="dxa"/>
        </w:trPr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06">
            <w:pPr>
              <w:pStyle w:val="BodyText"/>
              <w:rPr>
                <w:lang w:val="en-NZ"/>
              </w:rPr>
            </w:pPr>
            <w:r w:rsidRPr="00A31306">
              <w:t xml:space="preserve">Documentation and </w:t>
            </w:r>
            <w:r w:rsidRPr="00A31306">
              <w:t>records must include:</w:t>
            </w:r>
          </w:p>
        </w:tc>
        <w:tc>
          <w:tcPr>
            <w:tcW w:w="6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06" w:rsidP="00A31306">
            <w:pPr>
              <w:pStyle w:val="ListBullet2"/>
            </w:pPr>
            <w:r w:rsidRPr="00A31306">
              <w:t>emergency procedure guides</w:t>
            </w:r>
          </w:p>
          <w:p w:rsidR="00000000" w:rsidRPr="00A31306" w:rsidP="00A31306">
            <w:pPr>
              <w:pStyle w:val="ListBullet2"/>
            </w:pPr>
            <w:r w:rsidRPr="00A31306">
              <w:t>state/ territory road rules</w:t>
            </w:r>
          </w:p>
          <w:p w:rsidR="00000000" w:rsidRPr="00A31306" w:rsidP="00A31306">
            <w:pPr>
              <w:pStyle w:val="ListBullet2"/>
            </w:pPr>
            <w:r w:rsidRPr="00A31306">
              <w:t>shipping documentation</w:t>
            </w:r>
          </w:p>
          <w:p w:rsidR="00000000" w:rsidRPr="00A31306" w:rsidP="00A31306">
            <w:pPr>
              <w:pStyle w:val="ListBullet2"/>
            </w:pPr>
            <w:r w:rsidRPr="00A31306">
              <w:t>TERP</w:t>
            </w:r>
          </w:p>
        </w:tc>
      </w:tr>
    </w:tbl>
    <w:p w:rsidR="00EF2E61" w:rsidP="00A31306">
      <w:pPr>
        <w:pStyle w:val="BodyText"/>
      </w:pPr>
    </w:p>
    <w:p w:rsidR="00EF2E61" w:rsidP="00A31306">
      <w:pPr>
        <w:pStyle w:val="BodyText"/>
      </w:pPr>
    </w:p>
    <w:p w:rsidR="00000000" w:rsidRPr="00A31306" w:rsidP="00A31306">
      <w:pPr>
        <w:pStyle w:val="Heading1"/>
      </w:pPr>
      <w:bookmarkStart w:id="9" w:name="O_846692"/>
      <w:bookmarkEnd w:id="9"/>
      <w:r w:rsidRPr="00A31306">
        <w:t>Unit Mapping Information</w:t>
      </w:r>
    </w:p>
    <w:p w:rsidR="00EF2E61" w:rsidP="00EF2E61">
      <w:pPr>
        <w:pStyle w:val="BodyText"/>
      </w:pPr>
      <w:r w:rsidRPr="00A31306">
        <w:t xml:space="preserve">This unit replaces but is </w:t>
      </w:r>
      <w:r w:rsidRPr="00A31306">
        <w:rPr>
          <w:rStyle w:val="SpecialBold"/>
        </w:rPr>
        <w:t xml:space="preserve">not </w:t>
      </w:r>
      <w:r w:rsidRPr="00A31306">
        <w:t>equivalent to TLIC4065A Operate chemical tanker.</w:t>
      </w:r>
    </w:p>
    <w:p w:rsidR="00000000" w:rsidRPr="00A31306" w:rsidP="00A31306">
      <w:pPr>
        <w:pStyle w:val="Heading1"/>
      </w:pPr>
      <w:bookmarkStart w:id="10" w:name="O_846699"/>
      <w:bookmarkEnd w:id="10"/>
      <w:r w:rsidRPr="00A31306">
        <w:t>Links</w:t>
      </w:r>
    </w:p>
    <w:p w:rsidR="00000000" w:rsidRPr="00A31306" w:rsidP="00EF2E61">
      <w:pPr>
        <w:pStyle w:val="BodyText"/>
      </w:pPr>
      <w:r w:rsidRPr="00A313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907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31306" w:rsidP="00A31306"/>
    <w:sectPr w:rsidSect="00A313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06" w:rsidRPr="00EF2E61" w:rsidP="00EF2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61" w:rsidP="00A31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F2E61" w:rsidP="00A31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2E61" w:rsidP="00A31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306" w:rsidRPr="00EF2E61" w:rsidP="00EF2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61" w:rsidRPr="002D2AF8" w:rsidP="00A31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TLIC0001 Operate chemical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F2E61" w:rsidP="00A31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6A7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DEE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306"/>
  </w:style>
  <w:style w:type="character" w:customStyle="1" w:styleId="Heading1Char">
    <w:name w:val="Heading 1 Char"/>
    <w:basedOn w:val="DefaultParagraphFont"/>
    <w:link w:val="Heading1"/>
    <w:rsid w:val="00A31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3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1306"/>
    <w:rPr>
      <w:b/>
      <w:spacing w:val="0"/>
    </w:rPr>
  </w:style>
  <w:style w:type="paragraph" w:styleId="ListBullet2">
    <w:name w:val="List Bullet 2"/>
    <w:basedOn w:val="List2"/>
    <w:rsid w:val="00A31306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1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3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3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13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1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3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306"/>
    <w:rPr>
      <w:i/>
    </w:rPr>
  </w:style>
  <w:style w:type="paragraph" w:styleId="Caption">
    <w:name w:val="caption"/>
    <w:basedOn w:val="BodyText"/>
    <w:next w:val="Normal"/>
    <w:qFormat/>
    <w:rsid w:val="00A31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306"/>
  </w:style>
  <w:style w:type="paragraph" w:styleId="TableofFigures">
    <w:name w:val="table of figures"/>
    <w:basedOn w:val="Normal"/>
    <w:next w:val="Normal"/>
    <w:semiHidden/>
    <w:rsid w:val="00A31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3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306"/>
    <w:rPr>
      <w:rFonts w:ascii="Wingdings" w:hAnsi="Wingdings"/>
    </w:rPr>
  </w:style>
  <w:style w:type="paragraph" w:customStyle="1" w:styleId="TableHeading">
    <w:name w:val="Table Heading"/>
    <w:basedOn w:val="HeadingBase"/>
    <w:rsid w:val="00A31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306"/>
    <w:rPr>
      <w:color w:val="0033CC"/>
      <w:u w:val="none"/>
    </w:rPr>
  </w:style>
  <w:style w:type="paragraph" w:customStyle="1" w:styleId="BodyTextRight">
    <w:name w:val="Body Text Right"/>
    <w:basedOn w:val="BodyText"/>
    <w:rsid w:val="00A31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3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306"/>
    <w:rPr>
      <w:sz w:val="32"/>
    </w:rPr>
  </w:style>
  <w:style w:type="paragraph" w:customStyle="1" w:styleId="HeadingProcedure">
    <w:name w:val="Heading Procedure"/>
    <w:basedOn w:val="HeadingBase"/>
    <w:next w:val="Normal"/>
    <w:rsid w:val="00A31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306"/>
    <w:pPr>
      <w:spacing w:before="60" w:after="60"/>
    </w:pPr>
  </w:style>
  <w:style w:type="paragraph" w:styleId="ListContinue">
    <w:name w:val="List Continue"/>
    <w:basedOn w:val="List"/>
    <w:rsid w:val="00A31306"/>
    <w:pPr>
      <w:ind w:firstLine="0"/>
    </w:pPr>
  </w:style>
  <w:style w:type="paragraph" w:customStyle="1" w:styleId="ListNote">
    <w:name w:val="List Note"/>
    <w:basedOn w:val="List"/>
    <w:rsid w:val="00A31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306"/>
    <w:rPr>
      <w:rFonts w:ascii="Courier New" w:hAnsi="Courier New"/>
    </w:rPr>
  </w:style>
  <w:style w:type="paragraph" w:customStyle="1" w:styleId="NoteBullet">
    <w:name w:val="Note Bullet"/>
    <w:basedOn w:val="Note"/>
    <w:rsid w:val="00A31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3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306"/>
    <w:rPr>
      <w:b/>
      <w:smallCaps/>
    </w:rPr>
  </w:style>
  <w:style w:type="paragraph" w:customStyle="1" w:styleId="TableListNumber">
    <w:name w:val="Table List Number"/>
    <w:basedOn w:val="ListNumber"/>
    <w:rsid w:val="00A31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306"/>
    <w:pPr>
      <w:numPr>
        <w:numId w:val="8"/>
      </w:numPr>
    </w:pPr>
  </w:style>
  <w:style w:type="paragraph" w:customStyle="1" w:styleId="ListAlpha2">
    <w:name w:val="List Alpha 2"/>
    <w:basedOn w:val="List2"/>
    <w:rsid w:val="00A31306"/>
    <w:pPr>
      <w:numPr>
        <w:numId w:val="7"/>
      </w:numPr>
    </w:pPr>
  </w:style>
  <w:style w:type="paragraph" w:styleId="List2">
    <w:name w:val="List 2"/>
    <w:basedOn w:val="BodyText"/>
    <w:rsid w:val="00A31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3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3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306"/>
    <w:pPr>
      <w:numPr>
        <w:numId w:val="3"/>
      </w:numPr>
    </w:pPr>
  </w:style>
  <w:style w:type="paragraph" w:styleId="ListContinue2">
    <w:name w:val="List Continue 2"/>
    <w:basedOn w:val="List2"/>
    <w:rsid w:val="00A31306"/>
    <w:pPr>
      <w:ind w:firstLine="0"/>
    </w:pPr>
  </w:style>
  <w:style w:type="paragraph" w:styleId="ListContinue3">
    <w:name w:val="List Continue 3"/>
    <w:basedOn w:val="List3"/>
    <w:rsid w:val="00A31306"/>
    <w:pPr>
      <w:ind w:left="1021" w:firstLine="0"/>
    </w:pPr>
  </w:style>
  <w:style w:type="paragraph" w:styleId="ListContinue4">
    <w:name w:val="List Continue 4"/>
    <w:basedOn w:val="List4"/>
    <w:rsid w:val="00A31306"/>
    <w:pPr>
      <w:ind w:firstLine="0"/>
    </w:pPr>
  </w:style>
  <w:style w:type="paragraph" w:styleId="ListContinue5">
    <w:name w:val="List Continue 5"/>
    <w:basedOn w:val="List5"/>
    <w:rsid w:val="00A31306"/>
    <w:pPr>
      <w:ind w:firstLine="0"/>
    </w:pPr>
  </w:style>
  <w:style w:type="paragraph" w:styleId="ListNumber3">
    <w:name w:val="List Number 3"/>
    <w:basedOn w:val="List3"/>
    <w:rsid w:val="00A31306"/>
    <w:pPr>
      <w:numPr>
        <w:numId w:val="4"/>
      </w:numPr>
    </w:pPr>
  </w:style>
  <w:style w:type="paragraph" w:styleId="ListNumber4">
    <w:name w:val="List Number 4"/>
    <w:basedOn w:val="List4"/>
    <w:rsid w:val="00A31306"/>
    <w:pPr>
      <w:numPr>
        <w:numId w:val="5"/>
      </w:numPr>
    </w:pPr>
  </w:style>
  <w:style w:type="paragraph" w:styleId="ListNumber5">
    <w:name w:val="List Number 5"/>
    <w:basedOn w:val="List5"/>
    <w:rsid w:val="00A31306"/>
    <w:pPr>
      <w:numPr>
        <w:numId w:val="6"/>
      </w:numPr>
    </w:pPr>
  </w:style>
  <w:style w:type="paragraph" w:styleId="BlockText">
    <w:name w:val="Block Text"/>
    <w:basedOn w:val="Normal"/>
    <w:rsid w:val="00A31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306"/>
    <w:rPr>
      <w:sz w:val="16"/>
      <w:vertAlign w:val="superscript"/>
    </w:rPr>
  </w:style>
  <w:style w:type="character" w:customStyle="1" w:styleId="Symbols">
    <w:name w:val="Symbols"/>
    <w:basedOn w:val="DefaultParagraphFont"/>
    <w:rsid w:val="00A31306"/>
    <w:rPr>
      <w:rFonts w:ascii="Symbol" w:hAnsi="Symbol"/>
    </w:rPr>
  </w:style>
  <w:style w:type="character" w:customStyle="1" w:styleId="MenuOptions">
    <w:name w:val="Menu Options"/>
    <w:basedOn w:val="DefaultParagraphFont"/>
    <w:rsid w:val="00A31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306"/>
    <w:rPr>
      <w:b/>
    </w:rPr>
  </w:style>
  <w:style w:type="character" w:customStyle="1" w:styleId="Underlined">
    <w:name w:val="Underlined"/>
    <w:basedOn w:val="DefaultParagraphFont"/>
    <w:rsid w:val="00A31306"/>
    <w:rPr>
      <w:u w:val="single"/>
    </w:rPr>
  </w:style>
  <w:style w:type="paragraph" w:customStyle="1" w:styleId="TableBodyTextRight">
    <w:name w:val="Table Body Text Right"/>
    <w:basedOn w:val="TableBodyText"/>
    <w:rsid w:val="00A31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306"/>
    <w:rPr>
      <w:sz w:val="18"/>
    </w:rPr>
  </w:style>
  <w:style w:type="paragraph" w:customStyle="1" w:styleId="BodySmallRight">
    <w:name w:val="Body Small Right"/>
    <w:basedOn w:val="BodyTextRight"/>
    <w:rsid w:val="00A31306"/>
    <w:rPr>
      <w:sz w:val="18"/>
      <w:szCs w:val="18"/>
    </w:rPr>
  </w:style>
  <w:style w:type="paragraph" w:customStyle="1" w:styleId="MarginEdition">
    <w:name w:val="Margin Edition"/>
    <w:basedOn w:val="MarginNote"/>
    <w:rsid w:val="00A31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306"/>
    <w:rPr>
      <w:sz w:val="2"/>
      <w:szCs w:val="2"/>
    </w:rPr>
  </w:style>
  <w:style w:type="character" w:customStyle="1" w:styleId="Small">
    <w:name w:val="Small"/>
    <w:basedOn w:val="DefaultParagraphFont"/>
    <w:rsid w:val="00A31306"/>
    <w:rPr>
      <w:sz w:val="16"/>
    </w:rPr>
  </w:style>
  <w:style w:type="paragraph" w:customStyle="1" w:styleId="WideTable">
    <w:name w:val="Wide Table"/>
    <w:basedOn w:val="Normal"/>
    <w:rsid w:val="00A31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306"/>
  </w:style>
  <w:style w:type="paragraph" w:styleId="Quote">
    <w:name w:val="Quote"/>
    <w:basedOn w:val="Heading1"/>
    <w:link w:val="QuoteChar"/>
    <w:qFormat/>
    <w:rsid w:val="00A31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306"/>
    <w:pPr>
      <w:pageBreakBefore/>
    </w:pPr>
  </w:style>
  <w:style w:type="paragraph" w:customStyle="1" w:styleId="Border">
    <w:name w:val="Border"/>
    <w:basedOn w:val="Normal"/>
    <w:qFormat/>
    <w:rsid w:val="00A31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306"/>
    <w:rPr>
      <w:u w:val="single"/>
    </w:rPr>
  </w:style>
  <w:style w:type="character" w:customStyle="1" w:styleId="BoldandItalics">
    <w:name w:val="Bold and Italics"/>
    <w:qFormat/>
    <w:rsid w:val="00A31306"/>
    <w:rPr>
      <w:b/>
      <w:i/>
      <w:u w:val="none"/>
    </w:rPr>
  </w:style>
  <w:style w:type="paragraph" w:styleId="BalloonText">
    <w:name w:val="Balloon Text"/>
    <w:basedOn w:val="Normal"/>
    <w:link w:val="BalloonTextChar"/>
    <w:rsid w:val="00A31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306"/>
    <w:pPr>
      <w:spacing w:before="0" w:after="0"/>
    </w:pPr>
  </w:style>
  <w:style w:type="paragraph" w:customStyle="1" w:styleId="BodyTextBold">
    <w:name w:val="Body Text Bold"/>
    <w:basedOn w:val="BodyText"/>
    <w:qFormat/>
    <w:rsid w:val="00A31306"/>
    <w:rPr>
      <w:b/>
    </w:rPr>
  </w:style>
  <w:style w:type="character" w:styleId="Hyperlink">
    <w:name w:val="Hyperlink"/>
    <w:basedOn w:val="DefaultParagraphFont"/>
    <w:uiPriority w:val="99"/>
    <w:unhideWhenUsed/>
    <w:rsid w:val="00EF2E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1603</Words>
  <Characters>9635</Characters>
  <Application>Microsoft Office Word</Application>
  <DocSecurity>0</DocSecurity>
  <Lines>458</Lines>
  <Paragraphs>212</Paragraphs>
  <ScaleCrop>false</ScaleCrop>
  <Company>Author-it Software Corporation Ltd.</Company>
  <LinksUpToDate>false</LinksUpToDate>
  <CharactersWithSpaces>11026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TLIC0001 Operate chemical tanker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2021-04-12T02:39:00Z</dcterms:created>
  <dcterms:modified xsi:type="dcterms:W3CDTF">2021-04-12T02:39:00Z</dcterms:modified>
</cp:coreProperties>
</file>