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D5065" w:rsidP="000D506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TLIB4081 Provision a motive power unit</w:t>
      </w:r>
      <w:r>
        <w:fldChar w:fldCharType="end"/>
      </w:r>
    </w:p>
    <w:p w:rsidR="000D5065" w:rsidP="000D5065">
      <w:pPr>
        <w:pStyle w:val="Version"/>
        <w:sectPr w:rsidSect="00F317B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F317B8" w:rsidP="00F317B8">
      <w:pPr>
        <w:pStyle w:val="SuperHeading"/>
      </w:pPr>
      <w:r w:rsidRPr="00F317B8">
        <w:t>TLIB4081 Provision a motive power unit</w:t>
      </w:r>
    </w:p>
    <w:p w:rsidR="00000000" w:rsidRPr="00F317B8" w:rsidP="00F317B8">
      <w:pPr>
        <w:pStyle w:val="Heading1"/>
      </w:pPr>
      <w:bookmarkStart w:id="1" w:name="O_1196244"/>
      <w:bookmarkEnd w:id="1"/>
      <w:r w:rsidRPr="00F317B8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317B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17B8" w:rsidP="00F317B8">
            <w:pPr>
              <w:pStyle w:val="BodyText"/>
            </w:pPr>
            <w:r w:rsidRPr="00F317B8">
              <w:rPr>
                <w:rStyle w:val="SpecialBold"/>
              </w:rPr>
              <w:t>Release 2</w:t>
            </w:r>
            <w:r w:rsidRPr="00F317B8">
              <w:t>. This is the second release of this unit of competency in the TLI Transport and Logistics Training Package:</w:t>
            </w:r>
          </w:p>
          <w:p w:rsidR="00000000" w:rsidRPr="00F317B8" w:rsidP="00F317B8">
            <w:pPr>
              <w:pStyle w:val="ListBullet"/>
            </w:pPr>
            <w:r w:rsidRPr="00F317B8">
              <w:t>Minor terminology changes in Performance Criteria</w:t>
            </w:r>
          </w:p>
          <w:p w:rsidR="00000000" w:rsidP="00F317B8">
            <w:pPr>
              <w:pStyle w:val="ListBullet"/>
              <w:rPr>
                <w:lang w:val="en-NZ"/>
              </w:rPr>
            </w:pPr>
            <w:r w:rsidRPr="00F317B8">
              <w:t>Minor statement changes in Assessment Conditions.</w:t>
            </w:r>
          </w:p>
        </w:tc>
      </w:tr>
      <w:tr w:rsidTr="00F317B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17B8" w:rsidP="00F317B8">
            <w:pPr>
              <w:pStyle w:val="BodyText"/>
            </w:pPr>
            <w:r w:rsidRPr="00F317B8">
              <w:rPr>
                <w:rStyle w:val="SpecialBold"/>
              </w:rPr>
              <w:t>Release 1</w:t>
            </w:r>
            <w:r w:rsidRPr="00F317B8">
              <w:t>. This</w:t>
            </w:r>
            <w:r w:rsidRPr="00F317B8">
              <w:t xml:space="preserve"> is the first release of this unit of competency in the TLI Transport and Logistics Training Package.</w:t>
            </w:r>
          </w:p>
        </w:tc>
      </w:tr>
    </w:tbl>
    <w:p w:rsidR="00000000" w:rsidRPr="00F317B8" w:rsidP="00F317B8">
      <w:pPr>
        <w:pStyle w:val="NoPaddingFontSize1"/>
      </w:pPr>
    </w:p>
    <w:p w:rsidR="00000000" w:rsidRPr="00F317B8" w:rsidP="00F317B8">
      <w:pPr>
        <w:pStyle w:val="AllowPageBreak"/>
      </w:pPr>
    </w:p>
    <w:p w:rsidR="00000000" w:rsidRPr="00F317B8" w:rsidP="00F317B8">
      <w:pPr>
        <w:pStyle w:val="Heading1"/>
      </w:pPr>
      <w:bookmarkStart w:id="2" w:name="O_1196243"/>
      <w:bookmarkEnd w:id="2"/>
      <w:r w:rsidRPr="00F317B8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317B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17B8" w:rsidP="00F317B8">
            <w:pPr>
              <w:pStyle w:val="BodyText"/>
            </w:pPr>
            <w:r w:rsidRPr="00F317B8">
              <w:t>This unit involves the skills and knowledge required to provision a motive power unit prior to it entering service.</w:t>
            </w:r>
          </w:p>
          <w:p w:rsidR="00000000" w:rsidRPr="00F317B8" w:rsidP="00F317B8">
            <w:pPr>
              <w:pStyle w:val="BodyText"/>
            </w:pPr>
            <w:r w:rsidRPr="00F317B8">
              <w:t>It in</w:t>
            </w:r>
            <w:r w:rsidRPr="00F317B8">
              <w:t>cludes checking fuel, oil, water and sand levels, and replenishing them as required; restocking consumables; general housekeeping and completing documentation as required.</w:t>
            </w:r>
          </w:p>
          <w:p w:rsidR="00000000" w:rsidRPr="00F317B8" w:rsidP="00F317B8">
            <w:pPr>
              <w:pStyle w:val="BodyText"/>
            </w:pPr>
            <w:r w:rsidRPr="00F317B8">
              <w:t>No licensing, legislative or certification requirements apply to this unit at the ti</w:t>
            </w:r>
            <w:r w:rsidRPr="00F317B8">
              <w:t>me of publication.</w:t>
            </w:r>
          </w:p>
        </w:tc>
      </w:tr>
    </w:tbl>
    <w:p w:rsidR="00000000" w:rsidRPr="00F317B8" w:rsidP="00F317B8">
      <w:pPr>
        <w:pStyle w:val="NoPaddingFontSize1"/>
      </w:pPr>
    </w:p>
    <w:p w:rsidR="00000000" w:rsidRPr="00F317B8" w:rsidP="00F317B8">
      <w:pPr>
        <w:pStyle w:val="AllowPageBreak"/>
      </w:pPr>
    </w:p>
    <w:p w:rsidR="00000000" w:rsidRPr="00F317B8" w:rsidP="00F317B8">
      <w:pPr>
        <w:pStyle w:val="Heading1"/>
      </w:pPr>
      <w:bookmarkStart w:id="3" w:name="O_1196242"/>
      <w:bookmarkEnd w:id="3"/>
      <w:r w:rsidRPr="00F317B8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317B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17B8" w:rsidP="00F317B8">
            <w:pPr>
              <w:pStyle w:val="BodyText"/>
            </w:pPr>
            <w:r w:rsidRPr="00F317B8">
              <w:t>Not applicable.</w:t>
            </w:r>
          </w:p>
        </w:tc>
      </w:tr>
    </w:tbl>
    <w:p w:rsidR="00000000" w:rsidRPr="00F317B8" w:rsidP="00F317B8">
      <w:pPr>
        <w:pStyle w:val="NoPaddingFontSize1"/>
      </w:pPr>
    </w:p>
    <w:p w:rsidR="00000000" w:rsidRPr="00F317B8" w:rsidP="00F317B8">
      <w:pPr>
        <w:pStyle w:val="AllowPageBreak"/>
      </w:pPr>
    </w:p>
    <w:p w:rsidR="00000000" w:rsidRPr="00F317B8" w:rsidP="00F317B8">
      <w:pPr>
        <w:pStyle w:val="Heading1"/>
      </w:pPr>
      <w:bookmarkStart w:id="4" w:name="O_1196241"/>
      <w:bookmarkEnd w:id="4"/>
      <w:r w:rsidRPr="00F317B8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317B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17B8" w:rsidP="00F317B8">
            <w:pPr>
              <w:pStyle w:val="BodyText"/>
            </w:pPr>
            <w:r w:rsidRPr="00F317B8">
              <w:t>B – Equipment Checking and Maintenance.</w:t>
            </w:r>
          </w:p>
        </w:tc>
      </w:tr>
    </w:tbl>
    <w:p w:rsidR="000D5065" w:rsidP="00F317B8">
      <w:pPr>
        <w:pStyle w:val="NoPaddingFontSize1"/>
      </w:pPr>
    </w:p>
    <w:p w:rsidR="000D5065" w:rsidP="00F317B8">
      <w:pPr>
        <w:pStyle w:val="NoPaddingFontSize1"/>
      </w:pPr>
    </w:p>
    <w:p w:rsidR="00000000" w:rsidRPr="00F317B8" w:rsidP="00F317B8">
      <w:pPr>
        <w:pStyle w:val="Heading1"/>
      </w:pPr>
      <w:bookmarkStart w:id="5" w:name="O_1196240"/>
      <w:bookmarkEnd w:id="5"/>
      <w:r w:rsidRPr="00F317B8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317B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17B8" w:rsidP="00F317B8">
            <w:pPr>
              <w:pStyle w:val="BodyText"/>
            </w:pPr>
            <w:r w:rsidRPr="00F317B8">
              <w:t>Rail sector.</w:t>
            </w:r>
          </w:p>
        </w:tc>
      </w:tr>
    </w:tbl>
    <w:p w:rsidR="000D5065" w:rsidP="00F317B8">
      <w:pPr>
        <w:pStyle w:val="NoPaddingFontSize1"/>
      </w:pPr>
    </w:p>
    <w:p w:rsidR="000D5065" w:rsidP="00F317B8">
      <w:pPr>
        <w:pStyle w:val="NoPaddingFontSize1"/>
      </w:pPr>
    </w:p>
    <w:p w:rsidR="00000000" w:rsidRPr="00F317B8" w:rsidP="00F317B8">
      <w:pPr>
        <w:pStyle w:val="Heading1"/>
      </w:pPr>
      <w:bookmarkStart w:id="6" w:name="O_1196239"/>
      <w:bookmarkEnd w:id="6"/>
      <w:r w:rsidRPr="00F317B8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400"/>
        <w:gridCol w:w="2401"/>
        <w:gridCol w:w="509"/>
        <w:gridCol w:w="5886"/>
      </w:tblGrid>
      <w:tr w:rsidTr="000D506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17B8" w:rsidP="00F317B8">
            <w:pPr>
              <w:pStyle w:val="BodyText"/>
            </w:pPr>
            <w:r w:rsidRPr="00F317B8">
              <w:rPr>
                <w:rStyle w:val="SpecialBold"/>
              </w:rPr>
              <w:t>ELEMENTS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17B8">
            <w:pPr>
              <w:pStyle w:val="BodyText"/>
              <w:rPr>
                <w:lang w:val="en-NZ"/>
              </w:rPr>
            </w:pPr>
            <w:r w:rsidRPr="00F317B8">
              <w:rPr>
                <w:rStyle w:val="SpecialBold"/>
              </w:rPr>
              <w:t>PERFORMANCE CRITERIA</w:t>
            </w:r>
          </w:p>
        </w:tc>
      </w:tr>
      <w:tr w:rsidTr="000D506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17B8">
            <w:pPr>
              <w:pStyle w:val="BodyText"/>
              <w:rPr>
                <w:lang w:val="en-NZ"/>
              </w:rPr>
            </w:pPr>
            <w:r w:rsidRPr="00F317B8">
              <w:t>Elements describe the essential outcomes.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17B8">
            <w:pPr>
              <w:pStyle w:val="BodyText"/>
              <w:rPr>
                <w:lang w:val="en-NZ"/>
              </w:rPr>
            </w:pPr>
            <w:r w:rsidRPr="00F317B8">
              <w:t>Performance criteria describe the performance needed to demonstrate achievement of the element.</w:t>
            </w:r>
          </w:p>
        </w:tc>
      </w:tr>
      <w:tr w:rsidTr="000D506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17B8" w:rsidP="00F317B8">
            <w:pPr>
              <w:pStyle w:val="BodyText"/>
            </w:pPr>
            <w:r w:rsidRPr="00F317B8">
              <w:rPr>
                <w:rStyle w:val="SpecialBold"/>
              </w:rPr>
              <w:t>1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17B8" w:rsidP="00F317B8">
            <w:pPr>
              <w:pStyle w:val="BodyText"/>
            </w:pPr>
            <w:r w:rsidRPr="00F317B8">
              <w:rPr>
                <w:rStyle w:val="SpecialBold"/>
              </w:rPr>
              <w:t xml:space="preserve">Check and replenish fuel, oil, water and sand </w:t>
            </w:r>
            <w:r w:rsidRPr="00F317B8">
              <w:rPr>
                <w:rStyle w:val="SpecialBold"/>
              </w:rPr>
              <w:t>levels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17B8">
            <w:pPr>
              <w:pStyle w:val="BodyText"/>
              <w:rPr>
                <w:lang w:val="en-NZ"/>
              </w:rPr>
            </w:pPr>
            <w:r w:rsidRPr="00F317B8">
              <w:rPr>
                <w:rStyle w:val="SpecialBold"/>
              </w:rPr>
              <w:t>1.1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17B8">
            <w:pPr>
              <w:pStyle w:val="BodyText"/>
              <w:rPr>
                <w:lang w:val="en-NZ"/>
              </w:rPr>
            </w:pPr>
            <w:r w:rsidRPr="00F317B8">
              <w:t>Motive power unit is positioned and secured at required service point in accordance with workplace requirements</w:t>
            </w:r>
          </w:p>
        </w:tc>
      </w:tr>
      <w:tr w:rsidTr="000D506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17B8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17B8">
            <w:pPr>
              <w:pStyle w:val="BodyText"/>
              <w:rPr>
                <w:lang w:val="en-NZ"/>
              </w:rPr>
            </w:pPr>
            <w:r w:rsidRPr="00F317B8">
              <w:rPr>
                <w:rStyle w:val="SpecialBold"/>
              </w:rPr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17B8">
            <w:pPr>
              <w:pStyle w:val="BodyText"/>
              <w:rPr>
                <w:lang w:val="en-NZ"/>
              </w:rPr>
            </w:pPr>
            <w:r w:rsidRPr="00F317B8">
              <w:t>Hazards are identified, risks are assessed and risk control measures are implemented</w:t>
            </w:r>
          </w:p>
        </w:tc>
      </w:tr>
      <w:tr w:rsidTr="000D506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17B8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17B8">
            <w:pPr>
              <w:pStyle w:val="BodyText"/>
              <w:rPr>
                <w:lang w:val="en-NZ"/>
              </w:rPr>
            </w:pPr>
            <w:r w:rsidRPr="00F317B8">
              <w:rPr>
                <w:rStyle w:val="SpecialBold"/>
              </w:rPr>
              <w:t>1.3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17B8">
            <w:pPr>
              <w:pStyle w:val="BodyText"/>
              <w:rPr>
                <w:lang w:val="en-NZ"/>
              </w:rPr>
            </w:pPr>
            <w:r w:rsidRPr="00F317B8">
              <w:t>Fuel, oil, water and sand levels are checked in accordance with manufacturer and/or workplace procedures</w:t>
            </w:r>
          </w:p>
        </w:tc>
      </w:tr>
      <w:tr w:rsidTr="000D506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17B8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17B8">
            <w:pPr>
              <w:pStyle w:val="BodyText"/>
              <w:rPr>
                <w:lang w:val="en-NZ"/>
              </w:rPr>
            </w:pPr>
            <w:r w:rsidRPr="00F317B8">
              <w:rPr>
                <w:rStyle w:val="SpecialBold"/>
              </w:rPr>
              <w:t>1.4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17B8">
            <w:pPr>
              <w:pStyle w:val="BodyText"/>
              <w:rPr>
                <w:lang w:val="en-NZ"/>
              </w:rPr>
            </w:pPr>
            <w:r w:rsidRPr="00F317B8">
              <w:t>Fuel, oil, water and sand levels are replenished, as required, in accordance with manufacturer and workplace procedures</w:t>
            </w:r>
          </w:p>
        </w:tc>
      </w:tr>
      <w:tr w:rsidTr="000D506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17B8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17B8">
            <w:pPr>
              <w:pStyle w:val="BodyText"/>
              <w:rPr>
                <w:lang w:val="en-NZ"/>
              </w:rPr>
            </w:pPr>
            <w:r w:rsidRPr="00F317B8">
              <w:rPr>
                <w:rStyle w:val="SpecialBold"/>
              </w:rPr>
              <w:t>1.5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17B8">
            <w:pPr>
              <w:pStyle w:val="BodyText"/>
              <w:rPr>
                <w:lang w:val="en-NZ"/>
              </w:rPr>
            </w:pPr>
            <w:r w:rsidRPr="00F317B8">
              <w:t>Equipment is used in accordance with manufacturer and workplace procedures</w:t>
            </w:r>
          </w:p>
        </w:tc>
      </w:tr>
      <w:tr w:rsidTr="000D506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17B8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17B8">
            <w:pPr>
              <w:pStyle w:val="BodyText"/>
              <w:rPr>
                <w:lang w:val="en-NZ"/>
              </w:rPr>
            </w:pPr>
            <w:r w:rsidRPr="00F317B8">
              <w:rPr>
                <w:rStyle w:val="SpecialBold"/>
              </w:rPr>
              <w:t>1.6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17B8">
            <w:pPr>
              <w:pStyle w:val="BodyText"/>
              <w:rPr>
                <w:lang w:val="en-NZ"/>
              </w:rPr>
            </w:pPr>
            <w:r w:rsidRPr="00F317B8">
              <w:t>Faults and/or deficiencies are identified and reported to relevant personnel</w:t>
            </w:r>
          </w:p>
        </w:tc>
      </w:tr>
      <w:tr w:rsidTr="000D506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17B8" w:rsidP="00F317B8">
            <w:pPr>
              <w:pStyle w:val="BodyText"/>
            </w:pPr>
            <w:r w:rsidRPr="00F317B8">
              <w:rPr>
                <w:rStyle w:val="SpecialBold"/>
              </w:rPr>
              <w:t>2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17B8" w:rsidP="00F317B8">
            <w:pPr>
              <w:pStyle w:val="BodyText"/>
            </w:pPr>
            <w:r w:rsidRPr="00F317B8">
              <w:rPr>
                <w:rStyle w:val="SpecialBold"/>
              </w:rPr>
              <w:t>Check and restock consumables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17B8">
            <w:pPr>
              <w:pStyle w:val="BodyText"/>
              <w:rPr>
                <w:lang w:val="en-NZ"/>
              </w:rPr>
            </w:pPr>
            <w:r w:rsidRPr="00F317B8">
              <w:rPr>
                <w:rStyle w:val="SpecialBold"/>
              </w:rPr>
              <w:t>2.1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17B8">
            <w:pPr>
              <w:pStyle w:val="BodyText"/>
              <w:rPr>
                <w:lang w:val="en-NZ"/>
              </w:rPr>
            </w:pPr>
            <w:r w:rsidRPr="00F317B8">
              <w:t>Consumables are checked for availability and serviceability</w:t>
            </w:r>
          </w:p>
        </w:tc>
      </w:tr>
      <w:tr w:rsidTr="000D506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17B8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17B8">
            <w:pPr>
              <w:pStyle w:val="BodyText"/>
              <w:rPr>
                <w:lang w:val="en-NZ"/>
              </w:rPr>
            </w:pPr>
            <w:r w:rsidRPr="00F317B8">
              <w:rPr>
                <w:rStyle w:val="SpecialBold"/>
              </w:rPr>
              <w:t>2.2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17B8">
            <w:pPr>
              <w:pStyle w:val="BodyText"/>
              <w:rPr>
                <w:lang w:val="en-NZ"/>
              </w:rPr>
            </w:pPr>
            <w:r w:rsidRPr="00F317B8">
              <w:t>Replacement consumables are acquired in accordance with workplace procedures</w:t>
            </w:r>
          </w:p>
        </w:tc>
      </w:tr>
      <w:tr w:rsidTr="000D506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17B8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17B8">
            <w:pPr>
              <w:pStyle w:val="BodyText"/>
              <w:rPr>
                <w:lang w:val="en-NZ"/>
              </w:rPr>
            </w:pPr>
            <w:r w:rsidRPr="00F317B8">
              <w:rPr>
                <w:rStyle w:val="SpecialBold"/>
              </w:rPr>
              <w:t>2.3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17B8">
            <w:pPr>
              <w:pStyle w:val="BodyText"/>
              <w:rPr>
                <w:lang w:val="en-NZ"/>
              </w:rPr>
            </w:pPr>
            <w:r w:rsidRPr="00F317B8">
              <w:t>Faults and/or deficiencies are identified and reported to relevant personnel</w:t>
            </w:r>
          </w:p>
        </w:tc>
      </w:tr>
      <w:tr w:rsidTr="000D506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17B8" w:rsidP="00F317B8">
            <w:pPr>
              <w:pStyle w:val="BodyText"/>
            </w:pPr>
            <w:r w:rsidRPr="00F317B8">
              <w:rPr>
                <w:rStyle w:val="SpecialBold"/>
              </w:rPr>
              <w:t>3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17B8" w:rsidP="00F317B8">
            <w:pPr>
              <w:pStyle w:val="BodyText"/>
            </w:pPr>
            <w:r w:rsidRPr="00F317B8">
              <w:rPr>
                <w:rStyle w:val="SpecialBold"/>
              </w:rPr>
              <w:t>Carry out general housekeeping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17B8">
            <w:pPr>
              <w:pStyle w:val="BodyText"/>
              <w:rPr>
                <w:lang w:val="en-NZ"/>
              </w:rPr>
            </w:pPr>
            <w:r w:rsidRPr="00F317B8">
              <w:rPr>
                <w:rStyle w:val="SpecialBold"/>
              </w:rPr>
              <w:t>3.1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17B8">
            <w:pPr>
              <w:pStyle w:val="BodyText"/>
              <w:rPr>
                <w:lang w:val="en-NZ"/>
              </w:rPr>
            </w:pPr>
            <w:r w:rsidRPr="00F317B8">
              <w:t>Rubbish is removed and disposed of in acc</w:t>
            </w:r>
            <w:r w:rsidRPr="00F317B8">
              <w:t>ordance with workplace policies and procedures</w:t>
            </w:r>
          </w:p>
        </w:tc>
      </w:tr>
      <w:tr w:rsidTr="000D506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17B8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17B8">
            <w:pPr>
              <w:pStyle w:val="BodyText"/>
              <w:rPr>
                <w:lang w:val="en-NZ"/>
              </w:rPr>
            </w:pPr>
            <w:r w:rsidRPr="00F317B8">
              <w:rPr>
                <w:rStyle w:val="SpecialBold"/>
              </w:rPr>
              <w:t>3.2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17B8">
            <w:pPr>
              <w:pStyle w:val="BodyText"/>
              <w:rPr>
                <w:lang w:val="en-NZ"/>
              </w:rPr>
            </w:pPr>
            <w:r w:rsidRPr="00F317B8">
              <w:t>Relevant areas of motive power unit are cleaned in accordance with workplace policies and procedures</w:t>
            </w:r>
          </w:p>
        </w:tc>
      </w:tr>
      <w:tr w:rsidTr="000D506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17B8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17B8">
            <w:pPr>
              <w:pStyle w:val="BodyText"/>
              <w:rPr>
                <w:lang w:val="en-NZ"/>
              </w:rPr>
            </w:pPr>
            <w:r w:rsidRPr="00F317B8">
              <w:rPr>
                <w:rStyle w:val="SpecialBold"/>
              </w:rPr>
              <w:t>3.3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17B8">
            <w:pPr>
              <w:pStyle w:val="BodyText"/>
              <w:rPr>
                <w:lang w:val="en-NZ"/>
              </w:rPr>
            </w:pPr>
            <w:r w:rsidRPr="00F317B8">
              <w:t>Cleaning materials are utilised in accordance with safety data sheets (SDS)/material safety data sheets (MSDS) and/or manufacturer instructions and workplace policies and procedures</w:t>
            </w:r>
          </w:p>
        </w:tc>
      </w:tr>
      <w:tr w:rsidTr="000D506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17B8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17B8">
            <w:pPr>
              <w:pStyle w:val="BodyText"/>
              <w:rPr>
                <w:lang w:val="en-NZ"/>
              </w:rPr>
            </w:pPr>
            <w:r w:rsidRPr="00F317B8">
              <w:rPr>
                <w:rStyle w:val="SpecialBold"/>
              </w:rPr>
              <w:t>3.4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17B8">
            <w:pPr>
              <w:pStyle w:val="BodyText"/>
              <w:rPr>
                <w:lang w:val="en-NZ"/>
              </w:rPr>
            </w:pPr>
            <w:r w:rsidRPr="00F317B8">
              <w:t xml:space="preserve">Faults and/or deficiencies are identified and reported to relevant </w:t>
            </w:r>
            <w:r w:rsidRPr="00F317B8">
              <w:t>personnel</w:t>
            </w:r>
          </w:p>
        </w:tc>
      </w:tr>
      <w:tr w:rsidTr="000D506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17B8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17B8">
            <w:pPr>
              <w:pStyle w:val="BodyText"/>
              <w:rPr>
                <w:lang w:val="en-NZ"/>
              </w:rPr>
            </w:pPr>
            <w:r w:rsidRPr="00F317B8">
              <w:rPr>
                <w:rStyle w:val="SpecialBold"/>
              </w:rPr>
              <w:t>3.5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17B8" w:rsidP="00F317B8">
            <w:pPr>
              <w:pStyle w:val="BodyText"/>
            </w:pPr>
            <w:r w:rsidRPr="00F317B8">
              <w:t>Documentation is completed in accordance with workplace policies and procedures</w:t>
            </w:r>
          </w:p>
        </w:tc>
      </w:tr>
    </w:tbl>
    <w:p w:rsidR="000D5065" w:rsidP="00F317B8">
      <w:pPr>
        <w:pStyle w:val="NoPaddingFontSize1"/>
      </w:pPr>
    </w:p>
    <w:p w:rsidR="000D5065" w:rsidP="00F317B8">
      <w:pPr>
        <w:pStyle w:val="NoPaddingFontSize1"/>
      </w:pPr>
    </w:p>
    <w:p w:rsidR="00000000" w:rsidRPr="00F317B8" w:rsidP="00F317B8">
      <w:pPr>
        <w:pStyle w:val="Heading1"/>
      </w:pPr>
      <w:bookmarkStart w:id="7" w:name="O_1196238"/>
      <w:bookmarkEnd w:id="7"/>
      <w:r w:rsidRPr="00F317B8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317B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17B8" w:rsidP="00F317B8">
            <w:pPr>
              <w:pStyle w:val="BodyText"/>
            </w:pPr>
            <w:r w:rsidRPr="00F317B8">
              <w:t>Foundation skills essential to performance are explicit in the performance criteria of this unit of competency.</w:t>
            </w:r>
          </w:p>
        </w:tc>
      </w:tr>
    </w:tbl>
    <w:p w:rsidR="000D5065" w:rsidP="00F317B8">
      <w:pPr>
        <w:pStyle w:val="NoPaddingFontSize1"/>
      </w:pPr>
    </w:p>
    <w:p w:rsidR="000D5065" w:rsidP="00F317B8">
      <w:pPr>
        <w:pStyle w:val="NoPaddingFontSize1"/>
      </w:pPr>
    </w:p>
    <w:p w:rsidR="00000000" w:rsidRPr="00F317B8" w:rsidP="00F317B8">
      <w:pPr>
        <w:pStyle w:val="Heading1"/>
      </w:pPr>
      <w:bookmarkStart w:id="8" w:name="O_1196237"/>
      <w:bookmarkEnd w:id="8"/>
      <w:r w:rsidRPr="00F317B8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317B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17B8" w:rsidP="00F317B8">
            <w:pPr>
              <w:pStyle w:val="BodyText"/>
            </w:pPr>
            <w:r w:rsidRPr="00F317B8">
              <w:t xml:space="preserve">Range is restricted to essential operating conditions and any other variables essential to the work </w:t>
            </w:r>
            <w:r w:rsidRPr="00F317B8">
              <w:t>environment.</w:t>
            </w:r>
          </w:p>
        </w:tc>
      </w:tr>
    </w:tbl>
    <w:p w:rsidR="000D5065" w:rsidP="00F317B8">
      <w:pPr>
        <w:pStyle w:val="NoPaddingFontSize1"/>
      </w:pPr>
    </w:p>
    <w:p w:rsidR="000D5065" w:rsidP="00F317B8">
      <w:pPr>
        <w:pStyle w:val="NoPaddingFontSize1"/>
      </w:pPr>
    </w:p>
    <w:p w:rsidR="00000000" w:rsidRPr="00F317B8" w:rsidP="00F317B8">
      <w:pPr>
        <w:pStyle w:val="Heading1"/>
      </w:pPr>
      <w:bookmarkStart w:id="9" w:name="O_1196236"/>
      <w:bookmarkEnd w:id="9"/>
      <w:r w:rsidRPr="00F317B8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317B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17B8" w:rsidP="00F317B8">
            <w:pPr>
              <w:pStyle w:val="BodyText"/>
            </w:pPr>
            <w:r w:rsidRPr="00F317B8">
              <w:t>This unit replaces and is equivalent to TLIB4081A Provisio</w:t>
            </w:r>
            <w:r w:rsidRPr="00F317B8">
              <w:t>n a motive power unit.</w:t>
            </w:r>
          </w:p>
        </w:tc>
      </w:tr>
    </w:tbl>
    <w:p w:rsidR="000D5065" w:rsidP="00F317B8">
      <w:pPr>
        <w:pStyle w:val="NoPaddingFontSize1"/>
      </w:pPr>
    </w:p>
    <w:p w:rsidR="000D5065" w:rsidP="00F317B8">
      <w:pPr>
        <w:pStyle w:val="NoPaddingFontSize1"/>
      </w:pPr>
    </w:p>
    <w:p w:rsidR="00000000" w:rsidRPr="00F317B8" w:rsidP="00F317B8">
      <w:pPr>
        <w:pStyle w:val="Heading1"/>
      </w:pPr>
      <w:bookmarkStart w:id="10" w:name="O_1196245"/>
      <w:bookmarkEnd w:id="10"/>
      <w:r w:rsidRPr="00F317B8">
        <w:t>Links</w:t>
      </w:r>
    </w:p>
    <w:p w:rsidR="00000000" w:rsidRPr="00F317B8" w:rsidP="000D5065">
      <w:pPr>
        <w:pStyle w:val="BodyText"/>
      </w:pPr>
      <w:r w:rsidRPr="00F317B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2F7F50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F317B8" w:rsidP="00F317B8"/>
    <w:sectPr w:rsidSect="00F317B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17B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17B8" w:rsidRPr="000D5065" w:rsidP="000D506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17B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5065" w:rsidP="00F317B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D5065" w:rsidP="00F317B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0D5065" w:rsidP="00F317B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17B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506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317B8" w:rsidRPr="000D5065" w:rsidP="000D506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17B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5065" w:rsidRPr="002D2AF8" w:rsidP="00F317B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TLIB4081 Provision a motive power unit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0D5065" w:rsidP="00F317B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7C2B10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36ECFC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317B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317B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317B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317B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317B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317B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317B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317B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317B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317B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317B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317B8"/>
  </w:style>
  <w:style w:type="character" w:customStyle="1" w:styleId="Heading1Char">
    <w:name w:val="Heading 1 Char"/>
    <w:basedOn w:val="DefaultParagraphFont"/>
    <w:link w:val="Heading1"/>
    <w:rsid w:val="00F317B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317B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317B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317B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317B8"/>
    <w:rPr>
      <w:b/>
      <w:spacing w:val="0"/>
    </w:rPr>
  </w:style>
  <w:style w:type="paragraph" w:customStyle="1" w:styleId="SuperHeading">
    <w:name w:val="SuperHeading"/>
    <w:basedOn w:val="Normal"/>
    <w:rsid w:val="00F317B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317B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F317B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317B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317B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317B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317B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317B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317B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317B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317B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317B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317B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317B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317B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317B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317B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317B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317B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317B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317B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317B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317B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317B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317B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317B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317B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317B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317B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317B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317B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317B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317B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317B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317B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317B8"/>
    <w:rPr>
      <w:i/>
    </w:rPr>
  </w:style>
  <w:style w:type="paragraph" w:styleId="Caption">
    <w:name w:val="caption"/>
    <w:basedOn w:val="BodyText"/>
    <w:next w:val="Normal"/>
    <w:qFormat/>
    <w:rsid w:val="00F317B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317B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317B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317B8"/>
  </w:style>
  <w:style w:type="paragraph" w:styleId="TableofFigures">
    <w:name w:val="table of figures"/>
    <w:basedOn w:val="Normal"/>
    <w:next w:val="Normal"/>
    <w:semiHidden/>
    <w:rsid w:val="00F317B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317B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317B8"/>
    <w:rPr>
      <w:rFonts w:ascii="Wingdings" w:hAnsi="Wingdings"/>
    </w:rPr>
  </w:style>
  <w:style w:type="paragraph" w:customStyle="1" w:styleId="TableHeading">
    <w:name w:val="Table Heading"/>
    <w:basedOn w:val="HeadingBase"/>
    <w:rsid w:val="00F317B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317B8"/>
    <w:rPr>
      <w:color w:val="0033CC"/>
      <w:u w:val="none"/>
    </w:rPr>
  </w:style>
  <w:style w:type="paragraph" w:customStyle="1" w:styleId="BodyTextRight">
    <w:name w:val="Body Text Right"/>
    <w:basedOn w:val="BodyText"/>
    <w:rsid w:val="00F317B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317B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317B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317B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317B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317B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317B8"/>
    <w:rPr>
      <w:sz w:val="32"/>
    </w:rPr>
  </w:style>
  <w:style w:type="paragraph" w:customStyle="1" w:styleId="HeadingProcedure">
    <w:name w:val="Heading Procedure"/>
    <w:basedOn w:val="HeadingBase"/>
    <w:next w:val="Normal"/>
    <w:rsid w:val="00F317B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317B8"/>
    <w:pPr>
      <w:spacing w:before="60" w:after="60"/>
    </w:pPr>
  </w:style>
  <w:style w:type="paragraph" w:styleId="ListContinue">
    <w:name w:val="List Continue"/>
    <w:basedOn w:val="List"/>
    <w:rsid w:val="00F317B8"/>
    <w:pPr>
      <w:ind w:firstLine="0"/>
    </w:pPr>
  </w:style>
  <w:style w:type="paragraph" w:customStyle="1" w:styleId="ListNote">
    <w:name w:val="List Note"/>
    <w:basedOn w:val="List"/>
    <w:rsid w:val="00F317B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317B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317B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317B8"/>
    <w:rPr>
      <w:rFonts w:ascii="Courier New" w:hAnsi="Courier New"/>
    </w:rPr>
  </w:style>
  <w:style w:type="paragraph" w:customStyle="1" w:styleId="NoteBullet">
    <w:name w:val="Note Bullet"/>
    <w:basedOn w:val="Note"/>
    <w:rsid w:val="00F317B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317B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317B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317B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317B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317B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317B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317B8"/>
    <w:rPr>
      <w:b/>
      <w:smallCaps/>
    </w:rPr>
  </w:style>
  <w:style w:type="paragraph" w:customStyle="1" w:styleId="TableListNumber">
    <w:name w:val="Table List Number"/>
    <w:basedOn w:val="ListNumber"/>
    <w:rsid w:val="00F317B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317B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317B8"/>
    <w:pPr>
      <w:numPr>
        <w:numId w:val="8"/>
      </w:numPr>
    </w:pPr>
  </w:style>
  <w:style w:type="paragraph" w:customStyle="1" w:styleId="ListAlpha2">
    <w:name w:val="List Alpha 2"/>
    <w:basedOn w:val="List2"/>
    <w:rsid w:val="00F317B8"/>
    <w:pPr>
      <w:numPr>
        <w:numId w:val="7"/>
      </w:numPr>
    </w:pPr>
  </w:style>
  <w:style w:type="paragraph" w:styleId="List2">
    <w:name w:val="List 2"/>
    <w:basedOn w:val="BodyText"/>
    <w:rsid w:val="00F317B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317B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317B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317B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317B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317B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317B8"/>
    <w:pPr>
      <w:numPr>
        <w:numId w:val="3"/>
      </w:numPr>
    </w:pPr>
  </w:style>
  <w:style w:type="paragraph" w:styleId="ListContinue2">
    <w:name w:val="List Continue 2"/>
    <w:basedOn w:val="List2"/>
    <w:rsid w:val="00F317B8"/>
    <w:pPr>
      <w:ind w:firstLine="0"/>
    </w:pPr>
  </w:style>
  <w:style w:type="paragraph" w:styleId="ListContinue3">
    <w:name w:val="List Continue 3"/>
    <w:basedOn w:val="List3"/>
    <w:rsid w:val="00F317B8"/>
    <w:pPr>
      <w:ind w:left="1021" w:firstLine="0"/>
    </w:pPr>
  </w:style>
  <w:style w:type="paragraph" w:styleId="ListContinue4">
    <w:name w:val="List Continue 4"/>
    <w:basedOn w:val="List4"/>
    <w:rsid w:val="00F317B8"/>
    <w:pPr>
      <w:ind w:firstLine="0"/>
    </w:pPr>
  </w:style>
  <w:style w:type="paragraph" w:styleId="ListContinue5">
    <w:name w:val="List Continue 5"/>
    <w:basedOn w:val="List5"/>
    <w:rsid w:val="00F317B8"/>
    <w:pPr>
      <w:ind w:firstLine="0"/>
    </w:pPr>
  </w:style>
  <w:style w:type="paragraph" w:styleId="ListNumber3">
    <w:name w:val="List Number 3"/>
    <w:basedOn w:val="List3"/>
    <w:rsid w:val="00F317B8"/>
    <w:pPr>
      <w:numPr>
        <w:numId w:val="4"/>
      </w:numPr>
    </w:pPr>
  </w:style>
  <w:style w:type="paragraph" w:styleId="ListNumber4">
    <w:name w:val="List Number 4"/>
    <w:basedOn w:val="List4"/>
    <w:rsid w:val="00F317B8"/>
    <w:pPr>
      <w:numPr>
        <w:numId w:val="5"/>
      </w:numPr>
    </w:pPr>
  </w:style>
  <w:style w:type="paragraph" w:styleId="ListNumber5">
    <w:name w:val="List Number 5"/>
    <w:basedOn w:val="List5"/>
    <w:rsid w:val="00F317B8"/>
    <w:pPr>
      <w:numPr>
        <w:numId w:val="6"/>
      </w:numPr>
    </w:pPr>
  </w:style>
  <w:style w:type="paragraph" w:styleId="BlockText">
    <w:name w:val="Block Text"/>
    <w:basedOn w:val="Normal"/>
    <w:rsid w:val="00F317B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317B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317B8"/>
    <w:rPr>
      <w:sz w:val="16"/>
      <w:vertAlign w:val="superscript"/>
    </w:rPr>
  </w:style>
  <w:style w:type="character" w:customStyle="1" w:styleId="Symbols">
    <w:name w:val="Symbols"/>
    <w:basedOn w:val="DefaultParagraphFont"/>
    <w:rsid w:val="00F317B8"/>
    <w:rPr>
      <w:rFonts w:ascii="Symbol" w:hAnsi="Symbol"/>
    </w:rPr>
  </w:style>
  <w:style w:type="character" w:customStyle="1" w:styleId="MenuOptions">
    <w:name w:val="Menu Options"/>
    <w:basedOn w:val="DefaultParagraphFont"/>
    <w:rsid w:val="00F317B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317B8"/>
    <w:rPr>
      <w:b/>
    </w:rPr>
  </w:style>
  <w:style w:type="character" w:customStyle="1" w:styleId="Underlined">
    <w:name w:val="Underlined"/>
    <w:basedOn w:val="DefaultParagraphFont"/>
    <w:rsid w:val="00F317B8"/>
    <w:rPr>
      <w:u w:val="single"/>
    </w:rPr>
  </w:style>
  <w:style w:type="paragraph" w:customStyle="1" w:styleId="TableBodyTextRight">
    <w:name w:val="Table Body Text Right"/>
    <w:basedOn w:val="TableBodyText"/>
    <w:rsid w:val="00F317B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317B8"/>
    <w:rPr>
      <w:sz w:val="18"/>
    </w:rPr>
  </w:style>
  <w:style w:type="paragraph" w:customStyle="1" w:styleId="BodySmallRight">
    <w:name w:val="Body Small Right"/>
    <w:basedOn w:val="BodyTextRight"/>
    <w:rsid w:val="00F317B8"/>
    <w:rPr>
      <w:sz w:val="18"/>
      <w:szCs w:val="18"/>
    </w:rPr>
  </w:style>
  <w:style w:type="paragraph" w:customStyle="1" w:styleId="MarginEdition">
    <w:name w:val="Margin Edition"/>
    <w:basedOn w:val="MarginNote"/>
    <w:rsid w:val="00F317B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317B8"/>
    <w:rPr>
      <w:sz w:val="2"/>
      <w:szCs w:val="2"/>
    </w:rPr>
  </w:style>
  <w:style w:type="character" w:customStyle="1" w:styleId="Small">
    <w:name w:val="Small"/>
    <w:basedOn w:val="DefaultParagraphFont"/>
    <w:rsid w:val="00F317B8"/>
    <w:rPr>
      <w:sz w:val="16"/>
    </w:rPr>
  </w:style>
  <w:style w:type="paragraph" w:customStyle="1" w:styleId="WideTable">
    <w:name w:val="Wide Table"/>
    <w:basedOn w:val="Normal"/>
    <w:rsid w:val="00F317B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317B8"/>
  </w:style>
  <w:style w:type="paragraph" w:styleId="Quote">
    <w:name w:val="Quote"/>
    <w:basedOn w:val="Heading1"/>
    <w:link w:val="QuoteChar"/>
    <w:qFormat/>
    <w:rsid w:val="00F317B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317B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317B8"/>
    <w:pPr>
      <w:pageBreakBefore/>
    </w:pPr>
  </w:style>
  <w:style w:type="paragraph" w:customStyle="1" w:styleId="Border">
    <w:name w:val="Border"/>
    <w:basedOn w:val="Normal"/>
    <w:qFormat/>
    <w:rsid w:val="00F317B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317B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317B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317B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317B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317B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317B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317B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317B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317B8"/>
    <w:rPr>
      <w:u w:val="single"/>
    </w:rPr>
  </w:style>
  <w:style w:type="character" w:customStyle="1" w:styleId="BoldandItalics">
    <w:name w:val="Bold and Italics"/>
    <w:qFormat/>
    <w:rsid w:val="00F317B8"/>
    <w:rPr>
      <w:b/>
      <w:i/>
      <w:u w:val="none"/>
    </w:rPr>
  </w:style>
  <w:style w:type="paragraph" w:styleId="BalloonText">
    <w:name w:val="Balloon Text"/>
    <w:basedOn w:val="Normal"/>
    <w:link w:val="BalloonTextChar"/>
    <w:rsid w:val="00F317B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317B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317B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317B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317B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317B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317B8"/>
    <w:pPr>
      <w:spacing w:before="0" w:after="0"/>
    </w:pPr>
  </w:style>
  <w:style w:type="paragraph" w:customStyle="1" w:styleId="BodyTextBold">
    <w:name w:val="Body Text Bold"/>
    <w:basedOn w:val="BodyText"/>
    <w:qFormat/>
    <w:rsid w:val="00F317B8"/>
    <w:rPr>
      <w:b/>
    </w:rPr>
  </w:style>
  <w:style w:type="character" w:styleId="Hyperlink">
    <w:name w:val="Hyperlink"/>
    <w:basedOn w:val="DefaultParagraphFont"/>
    <w:uiPriority w:val="99"/>
    <w:unhideWhenUsed/>
    <w:rsid w:val="000D506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472</Words>
  <Characters>2949</Characters>
  <Application>Microsoft Office Word</Application>
  <DocSecurity>0</DocSecurity>
  <Lines>147</Lines>
  <Paragraphs>79</Paragraphs>
  <ScaleCrop>false</ScaleCrop>
  <Company>Author-it Software Corporation Ltd.</Company>
  <LinksUpToDate>false</LinksUpToDate>
  <CharactersWithSpaces>3342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TLIB4081 Provision a motive power unit</dc:title>
  <dc:subject>Approved</dc:subject>
  <dc:creator>Industry Skills Australia</dc:creator>
  <cp:keywords>Release: 2</cp:keywords>
  <dc:description>Review Date: 12 April 2008</dc:description>
  <cp:lastModifiedBy>HSD_TPCMSd.prod</cp:lastModifiedBy>
  <cp:revision>3</cp:revision>
  <dcterms:created xsi:type="dcterms:W3CDTF">2024-07-12T07:28:00Z</dcterms:created>
  <dcterms:modified xsi:type="dcterms:W3CDTF">2024-07-12T07:28:00Z</dcterms:modified>
</cp:coreProperties>
</file>