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741C" w:rsidP="00AC74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TLIB4081 Provision a motive power unit</w:t>
      </w:r>
      <w:r>
        <w:fldChar w:fldCharType="end"/>
      </w:r>
    </w:p>
    <w:p w:rsidR="00AC741C" w:rsidP="00AC741C">
      <w:pPr>
        <w:pStyle w:val="Version"/>
        <w:sectPr w:rsidSect="00D51E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1E63" w:rsidP="00D51E63">
      <w:pPr>
        <w:pStyle w:val="SuperHeading"/>
      </w:pPr>
      <w:r w:rsidRPr="00D51E63">
        <w:t>TLIB4081 Provision a motive power unit</w:t>
      </w:r>
    </w:p>
    <w:p w:rsidR="00000000" w:rsidRPr="00D51E63" w:rsidP="00D51E63">
      <w:pPr>
        <w:pStyle w:val="Heading1"/>
      </w:pPr>
      <w:bookmarkStart w:id="1" w:name="O_1196244"/>
      <w:bookmarkEnd w:id="1"/>
      <w:r w:rsidRPr="00D51E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 w:rsidP="00D51E63">
            <w:pPr>
              <w:pStyle w:val="BodyText"/>
            </w:pPr>
            <w:r w:rsidRPr="00D51E63">
              <w:rPr>
                <w:rStyle w:val="SpecialBold"/>
              </w:rPr>
              <w:t>Release 2</w:t>
            </w:r>
            <w:r w:rsidRPr="00D51E63">
              <w:t>. This is the second release of this unit of competency in the TLI Transport and Logistics Training Package:</w:t>
            </w:r>
          </w:p>
          <w:p w:rsidR="00000000" w:rsidRPr="00D51E63" w:rsidP="00D51E63">
            <w:pPr>
              <w:pStyle w:val="ListBullet"/>
            </w:pPr>
            <w:r w:rsidRPr="00D51E63">
              <w:t>Minor terminology changes in Performance Criteria</w:t>
            </w:r>
          </w:p>
          <w:p w:rsidR="00000000" w:rsidP="00D51E63">
            <w:pPr>
              <w:pStyle w:val="ListBullet"/>
              <w:rPr>
                <w:lang w:val="en-NZ"/>
              </w:rPr>
            </w:pPr>
            <w:r w:rsidRPr="00D51E63">
              <w:t>Minor statement changes in Assessment Conditions.</w:t>
            </w:r>
          </w:p>
        </w:tc>
      </w:tr>
      <w:tr w:rsidTr="00D51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 w:rsidP="00D51E63">
            <w:pPr>
              <w:pStyle w:val="BodyText"/>
            </w:pPr>
            <w:r w:rsidRPr="00D51E63">
              <w:rPr>
                <w:rStyle w:val="SpecialBold"/>
              </w:rPr>
              <w:t>Release 1</w:t>
            </w:r>
            <w:r w:rsidRPr="00D51E63">
              <w:t>. This</w:t>
            </w:r>
            <w:r w:rsidRPr="00D51E63">
              <w:t xml:space="preserve"> is the first release of this unit of competency in the TLI Transport and Logistics Training Package.</w:t>
            </w:r>
          </w:p>
        </w:tc>
      </w:tr>
    </w:tbl>
    <w:p w:rsidR="00000000" w:rsidRPr="00D51E63" w:rsidP="00D51E63">
      <w:pPr>
        <w:pStyle w:val="NoPaddingFontSize1"/>
      </w:pPr>
    </w:p>
    <w:p w:rsidR="00000000" w:rsidRPr="00D51E63" w:rsidP="00D51E63">
      <w:pPr>
        <w:pStyle w:val="AllowPageBreak"/>
      </w:pPr>
    </w:p>
    <w:p w:rsidR="00000000" w:rsidRPr="00D51E63" w:rsidP="00D51E63">
      <w:pPr>
        <w:pStyle w:val="Heading1"/>
      </w:pPr>
      <w:bookmarkStart w:id="2" w:name="O_1196243"/>
      <w:bookmarkEnd w:id="2"/>
      <w:r w:rsidRPr="00D51E6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 w:rsidP="00D51E63">
            <w:pPr>
              <w:pStyle w:val="BodyText"/>
            </w:pPr>
            <w:r w:rsidRPr="00D51E63">
              <w:t>This unit involves the skills and knowledge required to provision a motive power unit prior to it entering service.</w:t>
            </w:r>
          </w:p>
          <w:p w:rsidR="00000000" w:rsidRPr="00D51E63" w:rsidP="00D51E63">
            <w:pPr>
              <w:pStyle w:val="BodyText"/>
            </w:pPr>
            <w:r w:rsidRPr="00D51E63">
              <w:t>It in</w:t>
            </w:r>
            <w:r w:rsidRPr="00D51E63">
              <w:t>cludes checking fuel, oil, water and sand levels, and replenishing them as required; restocking consumables; general housekeeping and completing documentation as required.</w:t>
            </w:r>
          </w:p>
          <w:p w:rsidR="00000000" w:rsidRPr="00D51E63" w:rsidP="00D51E63">
            <w:pPr>
              <w:pStyle w:val="BodyText"/>
            </w:pPr>
            <w:r w:rsidRPr="00D51E63">
              <w:t>No licensing, legislative or certification requirements apply to this unit at the ti</w:t>
            </w:r>
            <w:r w:rsidRPr="00D51E63">
              <w:t>me of publication.</w:t>
            </w:r>
          </w:p>
        </w:tc>
      </w:tr>
    </w:tbl>
    <w:p w:rsidR="00000000" w:rsidRPr="00D51E63" w:rsidP="00D51E63">
      <w:pPr>
        <w:pStyle w:val="NoPaddingFontSize1"/>
      </w:pPr>
    </w:p>
    <w:p w:rsidR="00000000" w:rsidRPr="00D51E63" w:rsidP="00D51E63">
      <w:pPr>
        <w:pStyle w:val="AllowPageBreak"/>
      </w:pPr>
    </w:p>
    <w:p w:rsidR="00000000" w:rsidRPr="00D51E63" w:rsidP="00D51E63">
      <w:pPr>
        <w:pStyle w:val="Heading1"/>
      </w:pPr>
      <w:bookmarkStart w:id="3" w:name="O_1196242"/>
      <w:bookmarkEnd w:id="3"/>
      <w:r w:rsidRPr="00D51E6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 w:rsidP="00D51E63">
            <w:pPr>
              <w:pStyle w:val="BodyText"/>
            </w:pPr>
            <w:r w:rsidRPr="00D51E63">
              <w:t>Not applicable.</w:t>
            </w:r>
          </w:p>
        </w:tc>
      </w:tr>
    </w:tbl>
    <w:p w:rsidR="00000000" w:rsidRPr="00D51E63" w:rsidP="00D51E63">
      <w:pPr>
        <w:pStyle w:val="NoPaddingFontSize1"/>
      </w:pPr>
    </w:p>
    <w:p w:rsidR="00000000" w:rsidRPr="00D51E63" w:rsidP="00D51E63">
      <w:pPr>
        <w:pStyle w:val="AllowPageBreak"/>
      </w:pPr>
    </w:p>
    <w:p w:rsidR="00000000" w:rsidRPr="00D51E63" w:rsidP="00D51E63">
      <w:pPr>
        <w:pStyle w:val="Heading1"/>
      </w:pPr>
      <w:bookmarkStart w:id="4" w:name="O_1196241"/>
      <w:bookmarkEnd w:id="4"/>
      <w:r w:rsidRPr="00D51E6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 w:rsidP="00D51E63">
            <w:pPr>
              <w:pStyle w:val="BodyText"/>
            </w:pPr>
            <w:r w:rsidRPr="00D51E63">
              <w:t>B – Equipment Checking and Maintenance.</w:t>
            </w:r>
          </w:p>
        </w:tc>
      </w:tr>
    </w:tbl>
    <w:p w:rsidR="00AC741C" w:rsidP="00D51E63">
      <w:pPr>
        <w:pStyle w:val="NoPaddingFontSize1"/>
      </w:pPr>
    </w:p>
    <w:p w:rsidR="00AC741C" w:rsidP="00D51E63">
      <w:pPr>
        <w:pStyle w:val="NoPaddingFontSize1"/>
      </w:pPr>
    </w:p>
    <w:p w:rsidR="00000000" w:rsidRPr="00D51E63" w:rsidP="00D51E63">
      <w:pPr>
        <w:pStyle w:val="Heading1"/>
      </w:pPr>
      <w:bookmarkStart w:id="5" w:name="O_1196240"/>
      <w:bookmarkEnd w:id="5"/>
      <w:r w:rsidRPr="00D51E6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 w:rsidP="00D51E63">
            <w:pPr>
              <w:pStyle w:val="BodyText"/>
            </w:pPr>
            <w:r w:rsidRPr="00D51E63">
              <w:t>Rail sector.</w:t>
            </w:r>
          </w:p>
        </w:tc>
      </w:tr>
    </w:tbl>
    <w:p w:rsidR="00AC741C" w:rsidP="00D51E63">
      <w:pPr>
        <w:pStyle w:val="NoPaddingFontSize1"/>
      </w:pPr>
    </w:p>
    <w:p w:rsidR="00AC741C" w:rsidP="00D51E63">
      <w:pPr>
        <w:pStyle w:val="NoPaddingFontSize1"/>
      </w:pPr>
    </w:p>
    <w:p w:rsidR="00000000" w:rsidRPr="00D51E63" w:rsidP="00D51E63">
      <w:pPr>
        <w:pStyle w:val="Heading1"/>
      </w:pPr>
      <w:bookmarkStart w:id="6" w:name="O_1196239"/>
      <w:bookmarkEnd w:id="6"/>
      <w:r w:rsidRPr="00D51E6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00"/>
        <w:gridCol w:w="2401"/>
        <w:gridCol w:w="509"/>
        <w:gridCol w:w="5886"/>
      </w:tblGrid>
      <w:tr w:rsidTr="00AC7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 w:rsidP="00D51E63">
            <w:pPr>
              <w:pStyle w:val="BodyText"/>
            </w:pPr>
            <w:r w:rsidRPr="00D51E6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rPr>
                <w:rStyle w:val="SpecialBold"/>
              </w:rPr>
              <w:t>PERFORMANCE CRITERIA</w:t>
            </w:r>
          </w:p>
        </w:tc>
      </w:tr>
      <w:tr w:rsidTr="00AC7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t>Performance criteria describe the performance needed to demonstrate achievement of the element.</w:t>
            </w:r>
          </w:p>
        </w:tc>
      </w:tr>
      <w:tr w:rsidTr="00AC7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 w:rsidP="00D51E63">
            <w:pPr>
              <w:pStyle w:val="BodyText"/>
            </w:pPr>
            <w:r w:rsidRPr="00D51E6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 w:rsidP="00D51E63">
            <w:pPr>
              <w:pStyle w:val="BodyText"/>
            </w:pPr>
            <w:r w:rsidRPr="00D51E63">
              <w:rPr>
                <w:rStyle w:val="SpecialBold"/>
              </w:rPr>
              <w:t xml:space="preserve">Check and replenish fuel, oil, water and sand </w:t>
            </w:r>
            <w:r w:rsidRPr="00D51E63">
              <w:rPr>
                <w:rStyle w:val="SpecialBold"/>
              </w:rPr>
              <w:t>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t>Motive power unit is p</w:t>
            </w:r>
            <w:r w:rsidRPr="00D51E63">
              <w:t>ositioned and secured at required service point in accordance with workplace requirements</w:t>
            </w:r>
          </w:p>
        </w:tc>
      </w:tr>
      <w:tr w:rsidTr="00AC7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t>Hazards are identified, risks are assessed and risk control measures are implemented</w:t>
            </w:r>
          </w:p>
        </w:tc>
      </w:tr>
      <w:tr w:rsidTr="00AC7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t>Fuel, oil, water and sand levels are checked in accordance with manufacturer and/or workplace procedures</w:t>
            </w:r>
          </w:p>
        </w:tc>
      </w:tr>
      <w:tr w:rsidTr="00AC7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t>Fuel, oil, water and sand levels are replenished, as required, in accordance with manufacturer and workplace procedures</w:t>
            </w:r>
          </w:p>
        </w:tc>
      </w:tr>
      <w:tr w:rsidTr="00AC7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t>Equipment is used in accordance with manufacturer and workplace procedures</w:t>
            </w:r>
          </w:p>
        </w:tc>
      </w:tr>
      <w:tr w:rsidTr="00AC7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t>Faults and/or deficiencies are identified and reported to relevant personnel</w:t>
            </w:r>
          </w:p>
        </w:tc>
      </w:tr>
      <w:tr w:rsidTr="00AC7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 w:rsidP="00D51E63">
            <w:pPr>
              <w:pStyle w:val="BodyText"/>
            </w:pPr>
            <w:r w:rsidRPr="00D51E6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 w:rsidP="00D51E63">
            <w:pPr>
              <w:pStyle w:val="BodyText"/>
            </w:pPr>
            <w:r w:rsidRPr="00D51E63">
              <w:rPr>
                <w:rStyle w:val="SpecialBold"/>
              </w:rPr>
              <w:t>Check and restock consumables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t>Consumables are checked for availability and serviceability</w:t>
            </w:r>
          </w:p>
        </w:tc>
      </w:tr>
      <w:tr w:rsidTr="00AC7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t>Replacement consumables are acquired in accordance with workplace procedures</w:t>
            </w:r>
          </w:p>
        </w:tc>
      </w:tr>
      <w:tr w:rsidTr="00AC7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t>Faults and/or deficiencies are identified and reported to relevant personnel</w:t>
            </w:r>
          </w:p>
        </w:tc>
      </w:tr>
      <w:tr w:rsidTr="00AC7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 w:rsidP="00D51E63">
            <w:pPr>
              <w:pStyle w:val="BodyText"/>
            </w:pPr>
            <w:r w:rsidRPr="00D51E6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 w:rsidP="00D51E63">
            <w:pPr>
              <w:pStyle w:val="BodyText"/>
            </w:pPr>
            <w:r w:rsidRPr="00D51E63">
              <w:rPr>
                <w:rStyle w:val="SpecialBold"/>
              </w:rPr>
              <w:t>Carry out general housekeeping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t>Rubbish is removed and disposed of in accordance with workplace policies and procedures</w:t>
            </w:r>
          </w:p>
        </w:tc>
      </w:tr>
      <w:tr w:rsidTr="00AC7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t>Relevant areas of motive power unit are cleaned in accordance with workplace policies and procedures</w:t>
            </w:r>
          </w:p>
        </w:tc>
      </w:tr>
      <w:tr w:rsidTr="00AC7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t>Cleaning materials are utilised in accordance with safety data sheets (SDS)/material safety data sheets (MSDS) and/or manufacturer instructions and workplace policies and procedures</w:t>
            </w:r>
          </w:p>
        </w:tc>
      </w:tr>
      <w:tr w:rsidTr="00AC7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t>Faults and/or deficiencies are identified</w:t>
            </w:r>
            <w:r w:rsidRPr="00D51E63">
              <w:t xml:space="preserve"> and reported to relevant personnel</w:t>
            </w:r>
          </w:p>
        </w:tc>
      </w:tr>
      <w:tr w:rsidTr="00AC74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 w:rsidP="00D51E63">
            <w:pPr>
              <w:pStyle w:val="BodyText"/>
            </w:pPr>
            <w:r w:rsidRPr="00D51E63">
              <w:t>Documentation is completed in accordance with workplace policies and procedures</w:t>
            </w:r>
          </w:p>
        </w:tc>
      </w:tr>
    </w:tbl>
    <w:p w:rsidR="00AC741C" w:rsidP="00D51E63">
      <w:pPr>
        <w:pStyle w:val="NoPaddingFontSize1"/>
      </w:pPr>
    </w:p>
    <w:p w:rsidR="00AC741C" w:rsidP="00D51E63">
      <w:pPr>
        <w:pStyle w:val="NoPaddingFontSize1"/>
      </w:pPr>
    </w:p>
    <w:p w:rsidR="00000000" w:rsidRPr="00D51E63" w:rsidP="00D51E63">
      <w:pPr>
        <w:pStyle w:val="Heading1"/>
      </w:pPr>
      <w:bookmarkStart w:id="7" w:name="O_1196238"/>
      <w:bookmarkEnd w:id="7"/>
      <w:r w:rsidRPr="00D51E6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 w:rsidP="00D51E63">
            <w:pPr>
              <w:pStyle w:val="BodyText"/>
            </w:pPr>
            <w:r w:rsidRPr="00D51E63">
              <w:t xml:space="preserve">Foundation skills essential to performance are explicit in the performance criteria of this </w:t>
            </w:r>
            <w:r w:rsidRPr="00D51E63">
              <w:t>unit of competency.</w:t>
            </w:r>
          </w:p>
        </w:tc>
      </w:tr>
    </w:tbl>
    <w:p w:rsidR="00AC741C" w:rsidP="00D51E63">
      <w:pPr>
        <w:pStyle w:val="NoPaddingFontSize1"/>
      </w:pPr>
    </w:p>
    <w:p w:rsidR="00AC741C" w:rsidP="00D51E63">
      <w:pPr>
        <w:pStyle w:val="NoPaddingFontSize1"/>
      </w:pPr>
    </w:p>
    <w:p w:rsidR="00000000" w:rsidRPr="00D51E63" w:rsidP="00D51E63">
      <w:pPr>
        <w:pStyle w:val="Heading1"/>
      </w:pPr>
      <w:bookmarkStart w:id="8" w:name="O_1196237"/>
      <w:bookmarkEnd w:id="8"/>
      <w:r w:rsidRPr="00D51E6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 w:rsidP="00D51E63">
            <w:pPr>
              <w:pStyle w:val="BodyText"/>
            </w:pPr>
            <w:r w:rsidRPr="00D51E63">
              <w:t xml:space="preserve">Range is restricted to essential operating conditions and any other variables essential to the work </w:t>
            </w:r>
            <w:r w:rsidRPr="00D51E63">
              <w:t>environment.</w:t>
            </w:r>
          </w:p>
        </w:tc>
      </w:tr>
    </w:tbl>
    <w:p w:rsidR="00AC741C" w:rsidP="00D51E63">
      <w:pPr>
        <w:pStyle w:val="NoPaddingFontSize1"/>
      </w:pPr>
    </w:p>
    <w:p w:rsidR="00AC741C" w:rsidP="00D51E63">
      <w:pPr>
        <w:pStyle w:val="NoPaddingFontSize1"/>
      </w:pPr>
    </w:p>
    <w:p w:rsidR="00000000" w:rsidRPr="00D51E63" w:rsidP="00D51E63">
      <w:pPr>
        <w:pStyle w:val="Heading1"/>
      </w:pPr>
      <w:bookmarkStart w:id="9" w:name="O_1196236"/>
      <w:bookmarkEnd w:id="9"/>
      <w:r w:rsidRPr="00D51E6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 w:rsidP="00D51E63">
            <w:pPr>
              <w:pStyle w:val="BodyText"/>
            </w:pPr>
            <w:r w:rsidRPr="00D51E63">
              <w:t>This unit replaces and is equivalent to TLIB4081A Provision a motive power unit.</w:t>
            </w:r>
          </w:p>
        </w:tc>
      </w:tr>
    </w:tbl>
    <w:p w:rsidR="00AC741C" w:rsidP="00D51E63">
      <w:pPr>
        <w:pStyle w:val="NoPaddingFontSize1"/>
      </w:pPr>
    </w:p>
    <w:p w:rsidR="00AC741C" w:rsidP="00D51E63">
      <w:pPr>
        <w:pStyle w:val="NoPaddingFontSize1"/>
      </w:pPr>
    </w:p>
    <w:p w:rsidR="00000000" w:rsidRPr="00D51E63" w:rsidP="00D51E63">
      <w:pPr>
        <w:pStyle w:val="Heading1"/>
      </w:pPr>
      <w:bookmarkStart w:id="10" w:name="O_1196245"/>
      <w:bookmarkEnd w:id="10"/>
      <w:r w:rsidRPr="00D51E63">
        <w:t>Links</w:t>
      </w:r>
    </w:p>
    <w:p w:rsidR="00000000" w:rsidRPr="00D51E63" w:rsidP="00AC741C">
      <w:pPr>
        <w:pStyle w:val="BodyText"/>
      </w:pPr>
      <w:r w:rsidRPr="00D51E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9711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51E63" w:rsidP="00AC741C">
      <w:pPr>
        <w:pStyle w:val="BodyText"/>
        <w:sectPr w:rsidSect="00D51E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1E63" w:rsidP="00D51E63">
      <w:pPr>
        <w:pStyle w:val="SuperHeading"/>
      </w:pPr>
      <w:r w:rsidRPr="00D51E63">
        <w:t>Assessment Requirements for TLIB4081 Provision a motive power unit</w:t>
      </w:r>
    </w:p>
    <w:p w:rsidR="00000000" w:rsidRPr="00D51E63" w:rsidP="00D51E63">
      <w:pPr>
        <w:pStyle w:val="Heading1"/>
      </w:pPr>
      <w:bookmarkStart w:id="11" w:name="O_1196234"/>
      <w:bookmarkEnd w:id="11"/>
      <w:r w:rsidRPr="00D51E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 w:rsidP="00D51E63">
            <w:pPr>
              <w:pStyle w:val="BodyText"/>
            </w:pPr>
            <w:r w:rsidRPr="00D51E63">
              <w:rPr>
                <w:rStyle w:val="SpecialBold"/>
              </w:rPr>
              <w:t>Release 2</w:t>
            </w:r>
            <w:r w:rsidRPr="00D51E63">
              <w:t>. This is the second release of this unit of competency in the TLI Transport and Logistics Training Package:</w:t>
            </w:r>
          </w:p>
          <w:p w:rsidR="00000000" w:rsidRPr="00D51E63" w:rsidP="00D51E63">
            <w:pPr>
              <w:pStyle w:val="ListBullet"/>
            </w:pPr>
            <w:r w:rsidRPr="00D51E63">
              <w:t>Minor terminology changes in Performance Criteria</w:t>
            </w:r>
          </w:p>
          <w:p w:rsidR="00000000" w:rsidP="00D51E63">
            <w:pPr>
              <w:pStyle w:val="ListBullet"/>
              <w:rPr>
                <w:lang w:val="en-NZ"/>
              </w:rPr>
            </w:pPr>
            <w:r w:rsidRPr="00D51E63">
              <w:t>Minor statement changes in Assessment Conditions.</w:t>
            </w:r>
          </w:p>
        </w:tc>
      </w:tr>
      <w:tr w:rsidTr="00D51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 w:rsidP="00D51E63">
            <w:pPr>
              <w:pStyle w:val="BodyText"/>
            </w:pPr>
            <w:r w:rsidRPr="00D51E63">
              <w:rPr>
                <w:rStyle w:val="SpecialBold"/>
              </w:rPr>
              <w:t>Release 1</w:t>
            </w:r>
            <w:r w:rsidRPr="00D51E63">
              <w:t xml:space="preserve">. This is the first release of this </w:t>
            </w:r>
            <w:r w:rsidRPr="00D51E63">
              <w:t>unit of competency in the TLI Transport and Logistics Training Package.</w:t>
            </w:r>
          </w:p>
        </w:tc>
      </w:tr>
    </w:tbl>
    <w:p w:rsidR="00000000" w:rsidRPr="00D51E63" w:rsidP="00D51E63">
      <w:pPr>
        <w:pStyle w:val="NoPaddingFontSize1"/>
      </w:pPr>
    </w:p>
    <w:p w:rsidR="00000000" w:rsidRPr="00D51E63" w:rsidP="00D51E63">
      <w:pPr>
        <w:pStyle w:val="AllowPageBreak"/>
      </w:pPr>
    </w:p>
    <w:p w:rsidR="00000000" w:rsidRPr="00D51E63" w:rsidP="00D51E63">
      <w:pPr>
        <w:pStyle w:val="Heading1"/>
      </w:pPr>
      <w:bookmarkStart w:id="12" w:name="O_1196233"/>
      <w:bookmarkEnd w:id="12"/>
      <w:r w:rsidRPr="00D51E6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t>Evidence required to demonstrate competence in this unit must be relevant to and satisfy all of the requirements of the elements and performan</w:t>
            </w:r>
            <w:r w:rsidRPr="00D51E63">
              <w:t>ce criteria on at least one occasion and include:</w:t>
            </w:r>
          </w:p>
        </w:tc>
      </w:tr>
      <w:tr w:rsidTr="00D51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 w:rsidP="00D51E63">
            <w:pPr>
              <w:pStyle w:val="ListBullet"/>
            </w:pPr>
            <w:r w:rsidRPr="00D51E63">
              <w:t>checking and replenishing consumables in accordance with safety data sheets (SDS)/material safety data sheets (MSDS) and/or manufacturer instructions and workplace operational procedures</w:t>
            </w:r>
          </w:p>
          <w:p w:rsidR="00000000" w:rsidRPr="00D51E63" w:rsidP="00D51E63">
            <w:pPr>
              <w:pStyle w:val="ListBullet"/>
            </w:pPr>
            <w:r w:rsidRPr="00D51E63">
              <w:t>checking logbook and service records</w:t>
            </w:r>
          </w:p>
          <w:p w:rsidR="00000000" w:rsidRPr="00D51E63" w:rsidP="00D51E63">
            <w:pPr>
              <w:pStyle w:val="ListBullet"/>
            </w:pPr>
            <w:r w:rsidRPr="00D51E63">
              <w:t>conducting general housekeeping</w:t>
            </w:r>
          </w:p>
          <w:p w:rsidR="00000000" w:rsidRPr="00D51E63" w:rsidP="00D51E63">
            <w:pPr>
              <w:pStyle w:val="ListBullet"/>
            </w:pPr>
            <w:r w:rsidRPr="00D51E63">
              <w:t>identifying job hazards and taking required actions to minimise, control or eliminate identified hazards</w:t>
            </w:r>
          </w:p>
          <w:p w:rsidR="00000000" w:rsidRPr="00D51E63" w:rsidP="00D51E63">
            <w:pPr>
              <w:pStyle w:val="ListBullet"/>
            </w:pPr>
            <w:r w:rsidRPr="00D51E63">
              <w:t>interpreting and following workplace operational instructions</w:t>
            </w:r>
          </w:p>
          <w:p w:rsidR="00000000" w:rsidRPr="00D51E63" w:rsidP="00D51E63">
            <w:pPr>
              <w:pStyle w:val="ListBullet"/>
            </w:pPr>
            <w:r w:rsidRPr="00D51E63">
              <w:t>reading and interpre</w:t>
            </w:r>
            <w:r w:rsidRPr="00D51E63">
              <w:t>ting relevant instructions, workplace procedures, information, signs, symbols and diagrams.</w:t>
            </w:r>
          </w:p>
        </w:tc>
      </w:tr>
    </w:tbl>
    <w:p w:rsidR="00000000" w:rsidRPr="00D51E63" w:rsidP="00D51E63">
      <w:pPr>
        <w:pStyle w:val="NoPaddingFontSize1"/>
      </w:pPr>
    </w:p>
    <w:p w:rsidR="00000000" w:rsidRPr="00D51E63" w:rsidP="00D51E63">
      <w:pPr>
        <w:pStyle w:val="AllowPageBreak"/>
      </w:pPr>
    </w:p>
    <w:p w:rsidR="00000000" w:rsidRPr="00D51E63" w:rsidP="00D51E63">
      <w:pPr>
        <w:pStyle w:val="Heading1"/>
      </w:pPr>
      <w:bookmarkStart w:id="13" w:name="O_1196232"/>
      <w:bookmarkEnd w:id="13"/>
      <w:r w:rsidRPr="00D51E6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E63">
            <w:pPr>
              <w:pStyle w:val="BodyText"/>
              <w:rPr>
                <w:lang w:val="en-NZ"/>
              </w:rPr>
            </w:pPr>
            <w:r w:rsidRPr="00D51E6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51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 w:rsidP="00D51E63">
            <w:pPr>
              <w:pStyle w:val="ListBullet"/>
            </w:pPr>
            <w:r w:rsidRPr="00D51E63">
              <w:t>potential faults and/or deficiencies</w:t>
            </w:r>
          </w:p>
          <w:p w:rsidR="00000000" w:rsidRPr="00D51E63" w:rsidP="00D51E63">
            <w:pPr>
              <w:pStyle w:val="ListBullet"/>
            </w:pPr>
            <w:r w:rsidRPr="00D51E63">
              <w:t>relevant motive power unit terminolog</w:t>
            </w:r>
            <w:r w:rsidRPr="00D51E63">
              <w:t>y and layout</w:t>
            </w:r>
          </w:p>
          <w:p w:rsidR="00000000" w:rsidRPr="00D51E63" w:rsidP="00D51E63">
            <w:pPr>
              <w:pStyle w:val="ListBullet"/>
            </w:pPr>
            <w:r w:rsidRPr="00D51E63">
              <w:t>relevant rail danger zones</w:t>
            </w:r>
          </w:p>
          <w:p w:rsidR="00000000" w:rsidRPr="00D51E63" w:rsidP="00D51E63">
            <w:pPr>
              <w:pStyle w:val="ListBullet"/>
            </w:pPr>
            <w:r w:rsidRPr="00D51E63">
              <w:t>relevant rail safety, work health and safety (WHS)/occupational health and safety (OHS), and environmental procedures and regulations</w:t>
            </w:r>
          </w:p>
          <w:p w:rsidR="00000000" w:rsidRPr="00D51E63" w:rsidP="00D51E63">
            <w:pPr>
              <w:pStyle w:val="ListBullet"/>
            </w:pPr>
            <w:r w:rsidRPr="00D51E63">
              <w:t>relevant workplace procedures.</w:t>
            </w:r>
          </w:p>
        </w:tc>
      </w:tr>
    </w:tbl>
    <w:p w:rsidR="00000000" w:rsidRPr="00D51E63" w:rsidP="00D51E63">
      <w:pPr>
        <w:pStyle w:val="NoPaddingFontSize1"/>
      </w:pPr>
    </w:p>
    <w:p w:rsidR="00000000" w:rsidRPr="00D51E63" w:rsidP="00D51E63">
      <w:pPr>
        <w:pStyle w:val="AllowPageBreak"/>
      </w:pPr>
    </w:p>
    <w:p w:rsidR="00000000" w:rsidRPr="00D51E63" w:rsidP="00D51E63">
      <w:pPr>
        <w:pStyle w:val="Heading1"/>
      </w:pPr>
      <w:bookmarkStart w:id="14" w:name="O_1196231"/>
      <w:bookmarkEnd w:id="14"/>
      <w:r w:rsidRPr="00D51E6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E63" w:rsidP="00D51E63">
            <w:pPr>
              <w:pStyle w:val="BodyText"/>
            </w:pPr>
            <w:r w:rsidRPr="00D51E63">
              <w:t xml:space="preserve">Assessors must hold credentials specified within the Standards for Registered Training Organisations current at the time of assessment. </w:t>
            </w:r>
          </w:p>
          <w:p w:rsidR="00000000" w:rsidRPr="00D51E63" w:rsidP="00D51E63">
            <w:pPr>
              <w:pStyle w:val="BodyText"/>
            </w:pPr>
            <w:r w:rsidRPr="00D51E63">
              <w:t>Assessment must satisfy the Principles of Assessment and Rules of Evidence and all regulatory requirements included wit</w:t>
            </w:r>
            <w:r w:rsidRPr="00D51E63">
              <w:t>hin the Standards for Registered Training Organisations current at the time of assessment.</w:t>
            </w:r>
          </w:p>
          <w:p w:rsidR="00000000" w:rsidRPr="00D51E63" w:rsidP="00D51E63">
            <w:pPr>
              <w:pStyle w:val="BodyText"/>
            </w:pPr>
            <w:r w:rsidRPr="00D51E63">
              <w:t>Assessment must occur in workplace operational situations where it is appropriate to do so; where this is not appropriate, assessment must occur in simulated workpla</w:t>
            </w:r>
            <w:r w:rsidRPr="00D51E63">
              <w:t>ce operational situations that replicate workplace conditions.</w:t>
            </w:r>
          </w:p>
          <w:p w:rsidR="00000000" w:rsidRPr="00D51E63" w:rsidP="00D51E63">
            <w:pPr>
              <w:pStyle w:val="BodyText"/>
            </w:pPr>
            <w:r w:rsidRPr="00D51E6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51E63" w:rsidP="00D51E63">
            <w:pPr>
              <w:pStyle w:val="BodyText"/>
            </w:pPr>
            <w:r w:rsidRPr="00D51E63">
              <w:t xml:space="preserve">Resources for assessment </w:t>
            </w:r>
            <w:r w:rsidRPr="00D51E63">
              <w:t>must include access to:</w:t>
            </w:r>
          </w:p>
          <w:p w:rsidR="00000000" w:rsidRPr="00D51E63" w:rsidP="00D51E63">
            <w:pPr>
              <w:pStyle w:val="ListBullet"/>
            </w:pPr>
            <w:r w:rsidRPr="00D51E63">
              <w:t>a range of relevant exercises, case studies and/or simulations</w:t>
            </w:r>
          </w:p>
          <w:p w:rsidR="00000000" w:rsidRPr="00D51E63" w:rsidP="00D51E63">
            <w:pPr>
              <w:pStyle w:val="ListBullet"/>
            </w:pPr>
            <w:r w:rsidRPr="00D51E63">
              <w:t>relevant and appropriate materials, tools, equipment and personal protective equipment (PPE) currently used in industry</w:t>
            </w:r>
          </w:p>
          <w:p w:rsidR="00000000" w:rsidRPr="00D51E63" w:rsidP="00D51E63">
            <w:pPr>
              <w:pStyle w:val="ListBullet"/>
            </w:pPr>
            <w:r w:rsidRPr="00D51E63">
              <w:t>applicable documentation including workplace pro</w:t>
            </w:r>
            <w:r w:rsidRPr="00D51E63">
              <w:t>cedures, regulations, codes of practice and operation manuals.</w:t>
            </w:r>
          </w:p>
        </w:tc>
      </w:tr>
    </w:tbl>
    <w:p w:rsidR="00000000" w:rsidRPr="00D51E63" w:rsidP="00D51E63">
      <w:pPr>
        <w:pStyle w:val="NoPaddingFontSize1"/>
      </w:pPr>
    </w:p>
    <w:p w:rsidR="00000000" w:rsidRPr="00D51E63" w:rsidP="00D51E63">
      <w:pPr>
        <w:pStyle w:val="AllowPageBreak"/>
      </w:pPr>
    </w:p>
    <w:p w:rsidR="00000000" w:rsidRPr="00D51E63" w:rsidP="00D51E63">
      <w:pPr>
        <w:pStyle w:val="Heading1"/>
      </w:pPr>
      <w:bookmarkStart w:id="15" w:name="O_1196246"/>
      <w:bookmarkEnd w:id="15"/>
      <w:r w:rsidRPr="00D51E63">
        <w:t>Links</w:t>
      </w:r>
    </w:p>
    <w:p w:rsidR="00000000" w:rsidRPr="00D51E63" w:rsidP="00AC741C">
      <w:pPr>
        <w:pStyle w:val="BodyText"/>
      </w:pPr>
      <w:r w:rsidRPr="00D51E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9711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51E63" w:rsidP="00D51E63"/>
    <w:sectPr w:rsidSect="00D51E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63" w:rsidRPr="00AC741C" w:rsidP="00AC74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41C" w:rsidP="00D51E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741C" w:rsidP="00D51E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C741C" w:rsidP="00D51E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63" w:rsidP="00D51E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741C">
      <w:t>Approved</w:t>
    </w:r>
    <w:r w:rsidR="00AC74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74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741C">
      <w:rPr>
        <w:noProof/>
      </w:rPr>
      <w:t>4</w:t>
    </w:r>
    <w:r>
      <w:rPr>
        <w:noProof/>
      </w:rPr>
      <w:fldChar w:fldCharType="end"/>
    </w:r>
  </w:p>
  <w:p w:rsidR="00D51E63" w:rsidP="00D51E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74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741C">
      <w:t>Industry Skills Australia</w:t>
    </w:r>
    <w:r w:rsidR="00AC741C">
      <w:fldChar w:fldCharType="end"/>
    </w:r>
  </w:p>
  <w:p w:rsidR="00D51E63" w:rsidP="00D51E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4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1E63" w:rsidRPr="00AC741C" w:rsidP="00AC74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41C" w:rsidRPr="002D2AF8" w:rsidP="00D51E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TLIB4081 Provision a motive power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C741C" w:rsidP="00D51E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63" w:rsidRPr="002D2AF8" w:rsidP="00D51E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741C">
      <w:t>TLIB4081 Provision a motive power unit</w:t>
    </w:r>
    <w:r w:rsidR="00AC74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741C">
      <w:rPr>
        <w:noProof/>
      </w:rPr>
      <w:t>1 March 2025</w:t>
    </w:r>
    <w:r>
      <w:fldChar w:fldCharType="end"/>
    </w:r>
  </w:p>
  <w:p w:rsidR="00D51E63" w:rsidP="00D51E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E251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3CD3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E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E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E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E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E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E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E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E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E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E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E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E63"/>
  </w:style>
  <w:style w:type="character" w:customStyle="1" w:styleId="Heading1Char">
    <w:name w:val="Heading 1 Char"/>
    <w:basedOn w:val="DefaultParagraphFont"/>
    <w:link w:val="Heading1"/>
    <w:rsid w:val="00D51E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E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E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1E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1E63"/>
    <w:rPr>
      <w:b/>
      <w:spacing w:val="0"/>
    </w:rPr>
  </w:style>
  <w:style w:type="paragraph" w:customStyle="1" w:styleId="SuperHeading">
    <w:name w:val="SuperHeading"/>
    <w:basedOn w:val="Normal"/>
    <w:rsid w:val="00D51E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E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1E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E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E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E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E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E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E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E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E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E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E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E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E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E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1E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1E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1E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E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E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1E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1E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E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E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E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E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E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E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E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E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1E63"/>
    <w:rPr>
      <w:i/>
    </w:rPr>
  </w:style>
  <w:style w:type="paragraph" w:styleId="Caption">
    <w:name w:val="caption"/>
    <w:basedOn w:val="BodyText"/>
    <w:next w:val="Normal"/>
    <w:qFormat/>
    <w:rsid w:val="00D51E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E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E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E63"/>
  </w:style>
  <w:style w:type="paragraph" w:styleId="TableofFigures">
    <w:name w:val="table of figures"/>
    <w:basedOn w:val="Normal"/>
    <w:next w:val="Normal"/>
    <w:semiHidden/>
    <w:rsid w:val="00D51E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E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1E63"/>
    <w:rPr>
      <w:rFonts w:ascii="Wingdings" w:hAnsi="Wingdings"/>
    </w:rPr>
  </w:style>
  <w:style w:type="paragraph" w:customStyle="1" w:styleId="TableHeading">
    <w:name w:val="Table Heading"/>
    <w:basedOn w:val="HeadingBase"/>
    <w:rsid w:val="00D51E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E63"/>
    <w:rPr>
      <w:color w:val="0033CC"/>
      <w:u w:val="none"/>
    </w:rPr>
  </w:style>
  <w:style w:type="paragraph" w:customStyle="1" w:styleId="BodyTextRight">
    <w:name w:val="Body Text Right"/>
    <w:basedOn w:val="BodyText"/>
    <w:rsid w:val="00D51E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E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E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E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E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E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E63"/>
    <w:rPr>
      <w:sz w:val="32"/>
    </w:rPr>
  </w:style>
  <w:style w:type="paragraph" w:customStyle="1" w:styleId="HeadingProcedure">
    <w:name w:val="Heading Procedure"/>
    <w:basedOn w:val="HeadingBase"/>
    <w:next w:val="Normal"/>
    <w:rsid w:val="00D51E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E63"/>
    <w:pPr>
      <w:spacing w:before="60" w:after="60"/>
    </w:pPr>
  </w:style>
  <w:style w:type="paragraph" w:styleId="ListContinue">
    <w:name w:val="List Continue"/>
    <w:basedOn w:val="List"/>
    <w:rsid w:val="00D51E63"/>
    <w:pPr>
      <w:ind w:firstLine="0"/>
    </w:pPr>
  </w:style>
  <w:style w:type="paragraph" w:customStyle="1" w:styleId="ListNote">
    <w:name w:val="List Note"/>
    <w:basedOn w:val="List"/>
    <w:rsid w:val="00D51E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E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E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E63"/>
    <w:rPr>
      <w:rFonts w:ascii="Courier New" w:hAnsi="Courier New"/>
    </w:rPr>
  </w:style>
  <w:style w:type="paragraph" w:customStyle="1" w:styleId="NoteBullet">
    <w:name w:val="Note Bullet"/>
    <w:basedOn w:val="Note"/>
    <w:rsid w:val="00D51E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E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E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E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E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1E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E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E63"/>
    <w:rPr>
      <w:b/>
      <w:smallCaps/>
    </w:rPr>
  </w:style>
  <w:style w:type="paragraph" w:customStyle="1" w:styleId="TableListNumber">
    <w:name w:val="Table List Number"/>
    <w:basedOn w:val="ListNumber"/>
    <w:rsid w:val="00D51E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E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E63"/>
    <w:pPr>
      <w:numPr>
        <w:numId w:val="8"/>
      </w:numPr>
    </w:pPr>
  </w:style>
  <w:style w:type="paragraph" w:customStyle="1" w:styleId="ListAlpha2">
    <w:name w:val="List Alpha 2"/>
    <w:basedOn w:val="List2"/>
    <w:rsid w:val="00D51E63"/>
    <w:pPr>
      <w:numPr>
        <w:numId w:val="7"/>
      </w:numPr>
    </w:pPr>
  </w:style>
  <w:style w:type="paragraph" w:styleId="List2">
    <w:name w:val="List 2"/>
    <w:basedOn w:val="BodyText"/>
    <w:rsid w:val="00D51E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E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E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E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E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E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1E63"/>
    <w:pPr>
      <w:numPr>
        <w:numId w:val="3"/>
      </w:numPr>
    </w:pPr>
  </w:style>
  <w:style w:type="paragraph" w:styleId="ListContinue2">
    <w:name w:val="List Continue 2"/>
    <w:basedOn w:val="List2"/>
    <w:rsid w:val="00D51E63"/>
    <w:pPr>
      <w:ind w:firstLine="0"/>
    </w:pPr>
  </w:style>
  <w:style w:type="paragraph" w:styleId="ListContinue3">
    <w:name w:val="List Continue 3"/>
    <w:basedOn w:val="List3"/>
    <w:rsid w:val="00D51E63"/>
    <w:pPr>
      <w:ind w:left="1021" w:firstLine="0"/>
    </w:pPr>
  </w:style>
  <w:style w:type="paragraph" w:styleId="ListContinue4">
    <w:name w:val="List Continue 4"/>
    <w:basedOn w:val="List4"/>
    <w:rsid w:val="00D51E63"/>
    <w:pPr>
      <w:ind w:firstLine="0"/>
    </w:pPr>
  </w:style>
  <w:style w:type="paragraph" w:styleId="ListContinue5">
    <w:name w:val="List Continue 5"/>
    <w:basedOn w:val="List5"/>
    <w:rsid w:val="00D51E63"/>
    <w:pPr>
      <w:ind w:firstLine="0"/>
    </w:pPr>
  </w:style>
  <w:style w:type="paragraph" w:styleId="ListNumber3">
    <w:name w:val="List Number 3"/>
    <w:basedOn w:val="List3"/>
    <w:rsid w:val="00D51E63"/>
    <w:pPr>
      <w:numPr>
        <w:numId w:val="4"/>
      </w:numPr>
    </w:pPr>
  </w:style>
  <w:style w:type="paragraph" w:styleId="ListNumber4">
    <w:name w:val="List Number 4"/>
    <w:basedOn w:val="List4"/>
    <w:rsid w:val="00D51E63"/>
    <w:pPr>
      <w:numPr>
        <w:numId w:val="5"/>
      </w:numPr>
    </w:pPr>
  </w:style>
  <w:style w:type="paragraph" w:styleId="ListNumber5">
    <w:name w:val="List Number 5"/>
    <w:basedOn w:val="List5"/>
    <w:rsid w:val="00D51E63"/>
    <w:pPr>
      <w:numPr>
        <w:numId w:val="6"/>
      </w:numPr>
    </w:pPr>
  </w:style>
  <w:style w:type="paragraph" w:styleId="BlockText">
    <w:name w:val="Block Text"/>
    <w:basedOn w:val="Normal"/>
    <w:rsid w:val="00D51E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E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E63"/>
    <w:rPr>
      <w:sz w:val="16"/>
      <w:vertAlign w:val="superscript"/>
    </w:rPr>
  </w:style>
  <w:style w:type="character" w:customStyle="1" w:styleId="Symbols">
    <w:name w:val="Symbols"/>
    <w:basedOn w:val="DefaultParagraphFont"/>
    <w:rsid w:val="00D51E63"/>
    <w:rPr>
      <w:rFonts w:ascii="Symbol" w:hAnsi="Symbol"/>
    </w:rPr>
  </w:style>
  <w:style w:type="character" w:customStyle="1" w:styleId="MenuOptions">
    <w:name w:val="Menu Options"/>
    <w:basedOn w:val="DefaultParagraphFont"/>
    <w:rsid w:val="00D51E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E63"/>
    <w:rPr>
      <w:b/>
    </w:rPr>
  </w:style>
  <w:style w:type="character" w:customStyle="1" w:styleId="Underlined">
    <w:name w:val="Underlined"/>
    <w:basedOn w:val="DefaultParagraphFont"/>
    <w:rsid w:val="00D51E63"/>
    <w:rPr>
      <w:u w:val="single"/>
    </w:rPr>
  </w:style>
  <w:style w:type="paragraph" w:customStyle="1" w:styleId="TableBodyTextRight">
    <w:name w:val="Table Body Text Right"/>
    <w:basedOn w:val="TableBodyText"/>
    <w:rsid w:val="00D51E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E63"/>
    <w:rPr>
      <w:sz w:val="18"/>
    </w:rPr>
  </w:style>
  <w:style w:type="paragraph" w:customStyle="1" w:styleId="BodySmallRight">
    <w:name w:val="Body Small Right"/>
    <w:basedOn w:val="BodyTextRight"/>
    <w:rsid w:val="00D51E63"/>
    <w:rPr>
      <w:sz w:val="18"/>
      <w:szCs w:val="18"/>
    </w:rPr>
  </w:style>
  <w:style w:type="paragraph" w:customStyle="1" w:styleId="MarginEdition">
    <w:name w:val="Margin Edition"/>
    <w:basedOn w:val="MarginNote"/>
    <w:rsid w:val="00D51E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E63"/>
    <w:rPr>
      <w:sz w:val="2"/>
      <w:szCs w:val="2"/>
    </w:rPr>
  </w:style>
  <w:style w:type="character" w:customStyle="1" w:styleId="Small">
    <w:name w:val="Small"/>
    <w:basedOn w:val="DefaultParagraphFont"/>
    <w:rsid w:val="00D51E63"/>
    <w:rPr>
      <w:sz w:val="16"/>
    </w:rPr>
  </w:style>
  <w:style w:type="paragraph" w:customStyle="1" w:styleId="WideTable">
    <w:name w:val="Wide Table"/>
    <w:basedOn w:val="Normal"/>
    <w:rsid w:val="00D51E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E63"/>
  </w:style>
  <w:style w:type="paragraph" w:styleId="Quote">
    <w:name w:val="Quote"/>
    <w:basedOn w:val="Heading1"/>
    <w:link w:val="QuoteChar"/>
    <w:qFormat/>
    <w:rsid w:val="00D51E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E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E63"/>
    <w:pPr>
      <w:pageBreakBefore/>
    </w:pPr>
  </w:style>
  <w:style w:type="paragraph" w:customStyle="1" w:styleId="Border">
    <w:name w:val="Border"/>
    <w:basedOn w:val="Normal"/>
    <w:qFormat/>
    <w:rsid w:val="00D51E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E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E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E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E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E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E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E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E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E63"/>
    <w:rPr>
      <w:u w:val="single"/>
    </w:rPr>
  </w:style>
  <w:style w:type="character" w:customStyle="1" w:styleId="BoldandItalics">
    <w:name w:val="Bold and Italics"/>
    <w:qFormat/>
    <w:rsid w:val="00D51E63"/>
    <w:rPr>
      <w:b/>
      <w:i/>
      <w:u w:val="none"/>
    </w:rPr>
  </w:style>
  <w:style w:type="paragraph" w:styleId="BalloonText">
    <w:name w:val="Balloon Text"/>
    <w:basedOn w:val="Normal"/>
    <w:link w:val="BalloonTextChar"/>
    <w:rsid w:val="00D51E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E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E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E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E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E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1E63"/>
    <w:pPr>
      <w:spacing w:before="0" w:after="0"/>
    </w:pPr>
  </w:style>
  <w:style w:type="paragraph" w:customStyle="1" w:styleId="BodyTextBold">
    <w:name w:val="Body Text Bold"/>
    <w:basedOn w:val="BodyText"/>
    <w:qFormat/>
    <w:rsid w:val="00D51E63"/>
    <w:rPr>
      <w:b/>
    </w:rPr>
  </w:style>
  <w:style w:type="character" w:styleId="Hyperlink">
    <w:name w:val="Hyperlink"/>
    <w:basedOn w:val="DefaultParagraphFont"/>
    <w:uiPriority w:val="99"/>
    <w:unhideWhenUsed/>
    <w:rsid w:val="00AC74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867</Words>
  <Characters>5580</Characters>
  <Application>Microsoft Office Word</Application>
  <DocSecurity>0</DocSecurity>
  <Lines>206</Lines>
  <Paragraphs>117</Paragraphs>
  <ScaleCrop>false</ScaleCrop>
  <Company>Author-it Software Corporation Ltd.</Company>
  <LinksUpToDate>false</LinksUpToDate>
  <CharactersWithSpaces>6330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TLIB4081 Provision a motive power unit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2025-03-01T09:54:00Z</dcterms:created>
  <dcterms:modified xsi:type="dcterms:W3CDTF">2025-03-01T09:54:00Z</dcterms:modified>
</cp:coreProperties>
</file>