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695" w:rsidP="00854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TLIB4071 Install and maintain pole mounted switches and transformers</w:t>
      </w:r>
      <w:r>
        <w:fldChar w:fldCharType="end"/>
      </w:r>
    </w:p>
    <w:p w:rsidR="00854695" w:rsidP="00854695">
      <w:pPr>
        <w:pStyle w:val="Version"/>
        <w:sectPr w:rsidSect="00297C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7C60" w:rsidP="00297C60">
      <w:pPr>
        <w:pStyle w:val="SuperHeading"/>
      </w:pPr>
      <w:r w:rsidRPr="00297C60">
        <w:t>TLIB4071 Install and maintain pole mounted switches and transformers</w:t>
      </w:r>
    </w:p>
    <w:p w:rsidR="00000000" w:rsidRPr="00297C60" w:rsidP="00297C60">
      <w:pPr>
        <w:pStyle w:val="Heading1"/>
      </w:pPr>
      <w:bookmarkStart w:id="1" w:name="O_1118678"/>
      <w:bookmarkEnd w:id="1"/>
      <w:r w:rsidRPr="00297C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t>Release 2. This is the second release of this unit of competency in the TLI Transport and Logistics Training Package:</w:t>
            </w:r>
          </w:p>
          <w:p w:rsidR="00000000" w:rsidRPr="00297C60" w:rsidP="00297C60">
            <w:pPr>
              <w:pStyle w:val="ListBullet"/>
            </w:pPr>
            <w:r w:rsidRPr="00297C60">
              <w:t>Minor stateme</w:t>
            </w:r>
            <w:r w:rsidRPr="00297C60">
              <w:t>nt change in unit Application</w:t>
            </w:r>
          </w:p>
          <w:p w:rsidR="00000000" w:rsidP="00297C60">
            <w:pPr>
              <w:pStyle w:val="ListBullet"/>
              <w:rPr>
                <w:lang w:val="en-NZ"/>
              </w:rPr>
            </w:pPr>
            <w:r w:rsidRPr="00297C60">
              <w:t>Minor statement changes in Assessment Conditions.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t>Release 1. This is the first release of this unit of competency in the TLI Transport and Logistics Training Package.</w:t>
            </w:r>
          </w:p>
        </w:tc>
      </w:tr>
    </w:tbl>
    <w:p w:rsidR="00000000" w:rsidRPr="00297C60" w:rsidP="00297C60">
      <w:pPr>
        <w:pStyle w:val="NoPaddingFontSize1"/>
      </w:pPr>
    </w:p>
    <w:p w:rsidR="00000000" w:rsidRPr="00297C60" w:rsidP="00297C60">
      <w:pPr>
        <w:pStyle w:val="AllowPageBreak"/>
      </w:pPr>
    </w:p>
    <w:p w:rsidR="00000000" w:rsidRPr="00297C60" w:rsidP="00297C60">
      <w:pPr>
        <w:pStyle w:val="Heading1"/>
      </w:pPr>
      <w:bookmarkStart w:id="2" w:name="O_1118677"/>
      <w:bookmarkEnd w:id="2"/>
      <w:r w:rsidRPr="00297C6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t>This unit involves the sk</w:t>
            </w:r>
            <w:r w:rsidRPr="00297C60">
              <w:t>ills and knowledge required to install and maintain pole mounted switches and transformers in accordance with safeworking and regulatory requirements, and workplace procedures.</w:t>
            </w:r>
          </w:p>
          <w:p w:rsidR="00000000" w:rsidRPr="00297C60" w:rsidP="00297C60">
            <w:pPr>
              <w:pStyle w:val="BodyText"/>
            </w:pPr>
            <w:r w:rsidRPr="00297C60">
              <w:t>It includes planning installation and maintenance, preparing worksite, installi</w:t>
            </w:r>
            <w:r w:rsidRPr="00297C60">
              <w:t>ng switches and transformers in accordance with workplace specifications, maintaining switches and transformers, and completing work.</w:t>
            </w:r>
          </w:p>
          <w:p w:rsidR="00000000" w:rsidRPr="00297C60" w:rsidP="00297C60">
            <w:pPr>
              <w:pStyle w:val="BodyText"/>
            </w:pPr>
            <w:r w:rsidRPr="00297C60">
              <w:t>People achieving competence in this unit will need to fulfil the applicable state/territory legislated rail safety require</w:t>
            </w:r>
            <w:r w:rsidRPr="00297C60">
              <w:t>ments and to comply with relevant codes of practice, rail industry standards and/or guidelines.</w:t>
            </w:r>
          </w:p>
          <w:p w:rsidR="00000000" w:rsidRPr="00297C60" w:rsidP="00297C60">
            <w:pPr>
              <w:pStyle w:val="BodyText"/>
            </w:pPr>
            <w:r w:rsidRPr="00297C60">
              <w:t>People working on energised overhead or underground systems or electrical equipment must have undertaken training and, where appropriate, hold the relevant lice</w:t>
            </w:r>
            <w:r w:rsidRPr="00297C60">
              <w:t>nce, permit or certificate and be recognised as competent to carry out the work involved.</w:t>
            </w:r>
          </w:p>
          <w:p w:rsidR="00000000" w:rsidRPr="00297C60" w:rsidP="00297C60">
            <w:pPr>
              <w:pStyle w:val="BodyText"/>
            </w:pPr>
            <w:r w:rsidRPr="00297C60">
              <w:t>Work is performed under minimal supervision, generally within a team environment. It involves the application of routine operational principles and procedures when installing and maintaining pole mounted switches and transformers, as part of workplace acti</w:t>
            </w:r>
            <w:r w:rsidRPr="00297C60">
              <w:t>vities across a variety of operational contexts within the Australian rail system.</w:t>
            </w:r>
          </w:p>
        </w:tc>
      </w:tr>
    </w:tbl>
    <w:p w:rsidR="00000000" w:rsidRPr="00297C60" w:rsidP="00297C60">
      <w:pPr>
        <w:pStyle w:val="NoPaddingFontSize1"/>
      </w:pPr>
    </w:p>
    <w:p w:rsidR="00000000" w:rsidRPr="00297C60" w:rsidP="00297C60">
      <w:pPr>
        <w:pStyle w:val="AllowPageBreak"/>
      </w:pPr>
    </w:p>
    <w:p w:rsidR="00000000" w:rsidRPr="00297C60" w:rsidP="00297C60">
      <w:pPr>
        <w:pStyle w:val="Heading1"/>
      </w:pPr>
      <w:bookmarkStart w:id="3" w:name="O_1118676"/>
      <w:bookmarkEnd w:id="3"/>
      <w:r w:rsidRPr="00297C6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t>Not applicable.</w:t>
            </w:r>
          </w:p>
        </w:tc>
      </w:tr>
    </w:tbl>
    <w:p w:rsidR="00000000" w:rsidRPr="00297C60" w:rsidP="00297C60">
      <w:pPr>
        <w:pStyle w:val="NoPaddingFontSize1"/>
      </w:pPr>
    </w:p>
    <w:p w:rsidR="00000000" w:rsidRPr="00297C60" w:rsidP="00297C60">
      <w:pPr>
        <w:pStyle w:val="AllowPageBreak"/>
      </w:pPr>
    </w:p>
    <w:p w:rsidR="00000000" w:rsidRPr="00297C60" w:rsidP="00297C60">
      <w:pPr>
        <w:pStyle w:val="Heading1"/>
      </w:pPr>
      <w:bookmarkStart w:id="4" w:name="O_1118675"/>
      <w:bookmarkEnd w:id="4"/>
      <w:r w:rsidRPr="00297C6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t>B – Equipment Checking and Maintenance</w:t>
            </w:r>
          </w:p>
        </w:tc>
      </w:tr>
    </w:tbl>
    <w:p w:rsidR="00000000" w:rsidRPr="00297C60" w:rsidP="00297C60">
      <w:pPr>
        <w:pStyle w:val="NoPaddingFontSize1"/>
      </w:pPr>
    </w:p>
    <w:p w:rsidR="00000000" w:rsidRPr="00297C60" w:rsidP="00297C60">
      <w:pPr>
        <w:pStyle w:val="AllowPageBreak"/>
      </w:pPr>
    </w:p>
    <w:p w:rsidR="00000000" w:rsidRPr="00297C60" w:rsidP="00297C60">
      <w:pPr>
        <w:pStyle w:val="Heading1"/>
      </w:pPr>
      <w:bookmarkStart w:id="5" w:name="O_1118674"/>
      <w:bookmarkEnd w:id="5"/>
      <w:r w:rsidRPr="00297C6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t>Rail se</w:t>
            </w:r>
            <w:r w:rsidRPr="00297C60">
              <w:t>ctor.</w:t>
            </w:r>
          </w:p>
        </w:tc>
      </w:tr>
    </w:tbl>
    <w:p w:rsidR="00000000" w:rsidRPr="00297C60" w:rsidP="00297C60">
      <w:pPr>
        <w:pStyle w:val="NoPaddingFontSize1"/>
      </w:pPr>
    </w:p>
    <w:p w:rsidR="00000000" w:rsidRPr="00297C60" w:rsidP="00297C60">
      <w:pPr>
        <w:pStyle w:val="AllowPageBreak"/>
      </w:pPr>
    </w:p>
    <w:p w:rsidR="00000000" w:rsidRPr="00297C60" w:rsidP="00297C60">
      <w:pPr>
        <w:pStyle w:val="Heading1"/>
      </w:pPr>
      <w:bookmarkStart w:id="6" w:name="O_1118673"/>
      <w:bookmarkEnd w:id="6"/>
      <w:r w:rsidRPr="00297C6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PERFORMANCE CRITERIA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Performance criteria describe the performance needed to demonstrate achievement of the element.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rPr>
                <w:rStyle w:val="SpecialBold"/>
              </w:rPr>
              <w:t>Plan installation and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Works order is analysed and confirmed as required by site inspection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Resources required for the job are identified and scheduled in accordance with operational procedures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Hazards are identified, risks are assessed and control measures are implemented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Switch equipment and transformer are transported to worksite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Liaison and communication issues are resolved in accordance with organisational negotiation procedure</w:t>
            </w:r>
            <w:r w:rsidRPr="00297C60">
              <w:t>s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rPr>
                <w:rStyle w:val="SpecialBold"/>
              </w:rPr>
              <w:t>Prepare the worksite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Work plan and resources required are confirmed/checked at worksite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Personnel participating in the activity, including plant operators and contractors, are fully briefed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Road signs, barriers and warning devices are positioned to ensure a safe worksite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Safeworking practices are observed on or about the running track/line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Worksite is laid out in accordance with work plan to ensure minimum waste and rework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Systems/circuits are isolated as required, proved safe to work on in accordance with works order, and electrical permits are received/accepted/returned as required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rPr>
                <w:rStyle w:val="SpecialBold"/>
              </w:rPr>
              <w:t>Install switches and transformers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Switch equipment, transformers and earthing systems are installed and connected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Transformer is tested and voltage output is adjusted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Visual inspection is carried out to confirm equipment/apparatus is in a safe condition to test and/or commiss</w:t>
            </w:r>
            <w:r w:rsidRPr="00297C60">
              <w:t>ion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Commission is carried out in accordance with works order/plan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rPr>
                <w:rStyle w:val="SpecialBold"/>
              </w:rPr>
              <w:t>Maintain switches and transformers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Maintenance requirement is confirmed by detailed site diagnosis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Maintenance, including removal, repair, replacement and reinstatement, is carried out in accordance with works order and the condition of equipment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Worksite is rehabilitated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t>Appropriate authority is notified on completion of wor</w:t>
            </w:r>
            <w:r w:rsidRPr="00297C60">
              <w:t>k</w:t>
            </w:r>
          </w:p>
        </w:tc>
      </w:tr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C60">
            <w:pPr>
              <w:pStyle w:val="BodyText"/>
              <w:rPr>
                <w:lang w:val="en-NZ"/>
              </w:rPr>
            </w:pPr>
            <w:r w:rsidRPr="00297C6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t>Records and documentation for updating system data are completed and processed</w:t>
            </w:r>
          </w:p>
        </w:tc>
      </w:tr>
    </w:tbl>
    <w:p w:rsidR="00000000" w:rsidRPr="00297C60" w:rsidP="00297C60">
      <w:pPr>
        <w:pStyle w:val="NoPaddingFontSize1"/>
      </w:pPr>
    </w:p>
    <w:p w:rsidR="00000000" w:rsidRPr="00297C60" w:rsidP="00297C60">
      <w:pPr>
        <w:pStyle w:val="AllowPageBreak"/>
      </w:pPr>
    </w:p>
    <w:p w:rsidR="00000000" w:rsidRPr="00297C60" w:rsidP="00297C60">
      <w:pPr>
        <w:pStyle w:val="Heading1"/>
      </w:pPr>
      <w:bookmarkStart w:id="7" w:name="O_1118672"/>
      <w:bookmarkEnd w:id="7"/>
      <w:r w:rsidRPr="00297C6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t>Foundation skills essential to performance are explicit in the performance criteria of this unit of competency.</w:t>
            </w:r>
          </w:p>
        </w:tc>
      </w:tr>
    </w:tbl>
    <w:p w:rsidR="00000000" w:rsidRPr="00297C60" w:rsidP="00297C60">
      <w:pPr>
        <w:pStyle w:val="NoPaddingFontSize1"/>
      </w:pPr>
    </w:p>
    <w:p w:rsidR="00000000" w:rsidRPr="00297C60" w:rsidP="00297C60">
      <w:pPr>
        <w:pStyle w:val="AllowPageBreak"/>
      </w:pPr>
    </w:p>
    <w:p w:rsidR="00000000" w:rsidRPr="00297C60" w:rsidP="00297C60">
      <w:pPr>
        <w:pStyle w:val="Heading1"/>
      </w:pPr>
      <w:bookmarkStart w:id="8" w:name="O_1118671"/>
      <w:bookmarkEnd w:id="8"/>
      <w:r w:rsidRPr="00297C6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t>Range is restricted to essential operating conditions and any other variables essential to the work environment.</w:t>
            </w:r>
          </w:p>
          <w:p w:rsidR="00000000" w:rsidRPr="00297C60" w:rsidP="00297C60">
            <w:pPr>
              <w:pStyle w:val="BodyText"/>
            </w:pPr>
            <w:r w:rsidRPr="00297C60">
              <w:t>Non-essential conditions can be found in the TLI Transport and Logistics Training Package Companion Volume Impleme</w:t>
            </w:r>
            <w:r w:rsidRPr="00297C60">
              <w:t>ntation Guide.</w:t>
            </w:r>
          </w:p>
        </w:tc>
      </w:tr>
    </w:tbl>
    <w:p w:rsidR="00000000" w:rsidRPr="00297C60" w:rsidP="00297C60">
      <w:pPr>
        <w:pStyle w:val="NoPaddingFontSize1"/>
      </w:pPr>
    </w:p>
    <w:p w:rsidR="00000000" w:rsidRPr="00297C60" w:rsidP="00297C60">
      <w:pPr>
        <w:pStyle w:val="AllowPageBreak"/>
      </w:pPr>
    </w:p>
    <w:p w:rsidR="00000000" w:rsidRPr="00297C60" w:rsidP="00297C60">
      <w:pPr>
        <w:pStyle w:val="Heading1"/>
      </w:pPr>
      <w:bookmarkStart w:id="9" w:name="O_1118670"/>
      <w:bookmarkEnd w:id="9"/>
      <w:r w:rsidRPr="00297C6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C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C60" w:rsidP="00297C60">
            <w:pPr>
              <w:pStyle w:val="BodyText"/>
            </w:pPr>
            <w:r w:rsidRPr="00297C60">
              <w:t>This unit replaces and is equivalent to TLIB4071A Install and maintain pole mounted switches and transformers.</w:t>
            </w:r>
          </w:p>
        </w:tc>
      </w:tr>
    </w:tbl>
    <w:p w:rsidR="00000000" w:rsidRPr="00297C60" w:rsidP="00297C60">
      <w:pPr>
        <w:pStyle w:val="NoPaddingFontSize1"/>
      </w:pPr>
    </w:p>
    <w:p w:rsidR="00000000" w:rsidRPr="00297C60" w:rsidP="00297C60">
      <w:pPr>
        <w:pStyle w:val="AllowPageBreak"/>
      </w:pPr>
    </w:p>
    <w:p w:rsidR="00000000" w:rsidRPr="00297C60" w:rsidP="00297C60">
      <w:pPr>
        <w:pStyle w:val="Heading1"/>
      </w:pPr>
      <w:bookmarkStart w:id="10" w:name="O_1118679"/>
      <w:bookmarkEnd w:id="10"/>
      <w:r w:rsidRPr="00297C60">
        <w:t>Links</w:t>
      </w:r>
    </w:p>
    <w:p w:rsidR="00000000" w:rsidRPr="00297C60" w:rsidP="00854695">
      <w:pPr>
        <w:pStyle w:val="BodyText"/>
      </w:pPr>
      <w:r w:rsidRPr="00297C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040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7C60" w:rsidP="00297C60"/>
    <w:sectPr w:rsidSect="00297C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C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C60" w:rsidRPr="00854695" w:rsidP="00854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C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95" w:rsidP="00297C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695" w:rsidP="00297C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54695" w:rsidP="00297C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C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C60" w:rsidRPr="00854695" w:rsidP="00854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C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95" w:rsidRPr="002D2AF8" w:rsidP="00297C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TLIB4071 Install and maintain pole mounted switches and transformers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54695" w:rsidP="00297C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6C7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2A6F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C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C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C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C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C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C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C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C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C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C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C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C60"/>
  </w:style>
  <w:style w:type="character" w:customStyle="1" w:styleId="Heading1Char">
    <w:name w:val="Heading 1 Char"/>
    <w:basedOn w:val="DefaultParagraphFont"/>
    <w:link w:val="Heading1"/>
    <w:rsid w:val="00297C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C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C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C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C60"/>
    <w:rPr>
      <w:b/>
      <w:spacing w:val="0"/>
    </w:rPr>
  </w:style>
  <w:style w:type="paragraph" w:customStyle="1" w:styleId="SuperHeading">
    <w:name w:val="SuperHeading"/>
    <w:basedOn w:val="Normal"/>
    <w:rsid w:val="00297C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C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7C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C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C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C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C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C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C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C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C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C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C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C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C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C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C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C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C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C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C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C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C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C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C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C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C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C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C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C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C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C60"/>
    <w:rPr>
      <w:i/>
    </w:rPr>
  </w:style>
  <w:style w:type="paragraph" w:styleId="Caption">
    <w:name w:val="caption"/>
    <w:basedOn w:val="BodyText"/>
    <w:next w:val="Normal"/>
    <w:qFormat/>
    <w:rsid w:val="00297C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C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C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C60"/>
  </w:style>
  <w:style w:type="paragraph" w:styleId="TableofFigures">
    <w:name w:val="table of figures"/>
    <w:basedOn w:val="Normal"/>
    <w:next w:val="Normal"/>
    <w:semiHidden/>
    <w:rsid w:val="00297C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C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7C60"/>
    <w:rPr>
      <w:rFonts w:ascii="Wingdings" w:hAnsi="Wingdings"/>
    </w:rPr>
  </w:style>
  <w:style w:type="paragraph" w:customStyle="1" w:styleId="TableHeading">
    <w:name w:val="Table Heading"/>
    <w:basedOn w:val="HeadingBase"/>
    <w:rsid w:val="00297C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C60"/>
    <w:rPr>
      <w:color w:val="0033CC"/>
      <w:u w:val="none"/>
    </w:rPr>
  </w:style>
  <w:style w:type="paragraph" w:customStyle="1" w:styleId="BodyTextRight">
    <w:name w:val="Body Text Right"/>
    <w:basedOn w:val="BodyText"/>
    <w:rsid w:val="00297C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C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C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C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C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C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C60"/>
    <w:rPr>
      <w:sz w:val="32"/>
    </w:rPr>
  </w:style>
  <w:style w:type="paragraph" w:customStyle="1" w:styleId="HeadingProcedure">
    <w:name w:val="Heading Procedure"/>
    <w:basedOn w:val="HeadingBase"/>
    <w:next w:val="Normal"/>
    <w:rsid w:val="00297C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C60"/>
    <w:pPr>
      <w:spacing w:before="60" w:after="60"/>
    </w:pPr>
  </w:style>
  <w:style w:type="paragraph" w:styleId="ListContinue">
    <w:name w:val="List Continue"/>
    <w:basedOn w:val="List"/>
    <w:rsid w:val="00297C60"/>
    <w:pPr>
      <w:ind w:firstLine="0"/>
    </w:pPr>
  </w:style>
  <w:style w:type="paragraph" w:customStyle="1" w:styleId="ListNote">
    <w:name w:val="List Note"/>
    <w:basedOn w:val="List"/>
    <w:rsid w:val="00297C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C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C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C60"/>
    <w:rPr>
      <w:rFonts w:ascii="Courier New" w:hAnsi="Courier New"/>
    </w:rPr>
  </w:style>
  <w:style w:type="paragraph" w:customStyle="1" w:styleId="NoteBullet">
    <w:name w:val="Note Bullet"/>
    <w:basedOn w:val="Note"/>
    <w:rsid w:val="00297C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C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C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C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C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C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C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C60"/>
    <w:rPr>
      <w:b/>
      <w:smallCaps/>
    </w:rPr>
  </w:style>
  <w:style w:type="paragraph" w:customStyle="1" w:styleId="TableListNumber">
    <w:name w:val="Table List Number"/>
    <w:basedOn w:val="ListNumber"/>
    <w:rsid w:val="00297C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C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C60"/>
    <w:pPr>
      <w:numPr>
        <w:numId w:val="8"/>
      </w:numPr>
    </w:pPr>
  </w:style>
  <w:style w:type="paragraph" w:customStyle="1" w:styleId="ListAlpha2">
    <w:name w:val="List Alpha 2"/>
    <w:basedOn w:val="List2"/>
    <w:rsid w:val="00297C60"/>
    <w:pPr>
      <w:numPr>
        <w:numId w:val="7"/>
      </w:numPr>
    </w:pPr>
  </w:style>
  <w:style w:type="paragraph" w:styleId="List2">
    <w:name w:val="List 2"/>
    <w:basedOn w:val="BodyText"/>
    <w:rsid w:val="00297C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C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C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C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C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C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7C60"/>
    <w:pPr>
      <w:numPr>
        <w:numId w:val="3"/>
      </w:numPr>
    </w:pPr>
  </w:style>
  <w:style w:type="paragraph" w:styleId="ListContinue2">
    <w:name w:val="List Continue 2"/>
    <w:basedOn w:val="List2"/>
    <w:rsid w:val="00297C60"/>
    <w:pPr>
      <w:ind w:firstLine="0"/>
    </w:pPr>
  </w:style>
  <w:style w:type="paragraph" w:styleId="ListContinue3">
    <w:name w:val="List Continue 3"/>
    <w:basedOn w:val="List3"/>
    <w:rsid w:val="00297C60"/>
    <w:pPr>
      <w:ind w:left="1021" w:firstLine="0"/>
    </w:pPr>
  </w:style>
  <w:style w:type="paragraph" w:styleId="ListContinue4">
    <w:name w:val="List Continue 4"/>
    <w:basedOn w:val="List4"/>
    <w:rsid w:val="00297C60"/>
    <w:pPr>
      <w:ind w:firstLine="0"/>
    </w:pPr>
  </w:style>
  <w:style w:type="paragraph" w:styleId="ListContinue5">
    <w:name w:val="List Continue 5"/>
    <w:basedOn w:val="List5"/>
    <w:rsid w:val="00297C60"/>
    <w:pPr>
      <w:ind w:firstLine="0"/>
    </w:pPr>
  </w:style>
  <w:style w:type="paragraph" w:styleId="ListNumber3">
    <w:name w:val="List Number 3"/>
    <w:basedOn w:val="List3"/>
    <w:rsid w:val="00297C60"/>
    <w:pPr>
      <w:numPr>
        <w:numId w:val="4"/>
      </w:numPr>
    </w:pPr>
  </w:style>
  <w:style w:type="paragraph" w:styleId="ListNumber4">
    <w:name w:val="List Number 4"/>
    <w:basedOn w:val="List4"/>
    <w:rsid w:val="00297C60"/>
    <w:pPr>
      <w:numPr>
        <w:numId w:val="5"/>
      </w:numPr>
    </w:pPr>
  </w:style>
  <w:style w:type="paragraph" w:styleId="ListNumber5">
    <w:name w:val="List Number 5"/>
    <w:basedOn w:val="List5"/>
    <w:rsid w:val="00297C60"/>
    <w:pPr>
      <w:numPr>
        <w:numId w:val="6"/>
      </w:numPr>
    </w:pPr>
  </w:style>
  <w:style w:type="paragraph" w:styleId="BlockText">
    <w:name w:val="Block Text"/>
    <w:basedOn w:val="Normal"/>
    <w:rsid w:val="00297C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C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C60"/>
    <w:rPr>
      <w:sz w:val="16"/>
      <w:vertAlign w:val="superscript"/>
    </w:rPr>
  </w:style>
  <w:style w:type="character" w:customStyle="1" w:styleId="Symbols">
    <w:name w:val="Symbols"/>
    <w:basedOn w:val="DefaultParagraphFont"/>
    <w:rsid w:val="00297C60"/>
    <w:rPr>
      <w:rFonts w:ascii="Symbol" w:hAnsi="Symbol"/>
    </w:rPr>
  </w:style>
  <w:style w:type="character" w:customStyle="1" w:styleId="MenuOptions">
    <w:name w:val="Menu Options"/>
    <w:basedOn w:val="DefaultParagraphFont"/>
    <w:rsid w:val="00297C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C60"/>
    <w:rPr>
      <w:b/>
    </w:rPr>
  </w:style>
  <w:style w:type="character" w:customStyle="1" w:styleId="Underlined">
    <w:name w:val="Underlined"/>
    <w:basedOn w:val="DefaultParagraphFont"/>
    <w:rsid w:val="00297C60"/>
    <w:rPr>
      <w:u w:val="single"/>
    </w:rPr>
  </w:style>
  <w:style w:type="paragraph" w:customStyle="1" w:styleId="TableBodyTextRight">
    <w:name w:val="Table Body Text Right"/>
    <w:basedOn w:val="TableBodyText"/>
    <w:rsid w:val="00297C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C60"/>
    <w:rPr>
      <w:sz w:val="18"/>
    </w:rPr>
  </w:style>
  <w:style w:type="paragraph" w:customStyle="1" w:styleId="BodySmallRight">
    <w:name w:val="Body Small Right"/>
    <w:basedOn w:val="BodyTextRight"/>
    <w:rsid w:val="00297C60"/>
    <w:rPr>
      <w:sz w:val="18"/>
      <w:szCs w:val="18"/>
    </w:rPr>
  </w:style>
  <w:style w:type="paragraph" w:customStyle="1" w:styleId="MarginEdition">
    <w:name w:val="Margin Edition"/>
    <w:basedOn w:val="MarginNote"/>
    <w:rsid w:val="00297C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C60"/>
    <w:rPr>
      <w:sz w:val="2"/>
      <w:szCs w:val="2"/>
    </w:rPr>
  </w:style>
  <w:style w:type="character" w:customStyle="1" w:styleId="Small">
    <w:name w:val="Small"/>
    <w:basedOn w:val="DefaultParagraphFont"/>
    <w:rsid w:val="00297C60"/>
    <w:rPr>
      <w:sz w:val="16"/>
    </w:rPr>
  </w:style>
  <w:style w:type="paragraph" w:customStyle="1" w:styleId="WideTable">
    <w:name w:val="Wide Table"/>
    <w:basedOn w:val="Normal"/>
    <w:rsid w:val="00297C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C60"/>
  </w:style>
  <w:style w:type="paragraph" w:styleId="Quote">
    <w:name w:val="Quote"/>
    <w:basedOn w:val="Heading1"/>
    <w:link w:val="QuoteChar"/>
    <w:qFormat/>
    <w:rsid w:val="00297C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C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C60"/>
    <w:pPr>
      <w:pageBreakBefore/>
    </w:pPr>
  </w:style>
  <w:style w:type="paragraph" w:customStyle="1" w:styleId="Border">
    <w:name w:val="Border"/>
    <w:basedOn w:val="Normal"/>
    <w:qFormat/>
    <w:rsid w:val="00297C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C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C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C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C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C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C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C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C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C60"/>
    <w:rPr>
      <w:u w:val="single"/>
    </w:rPr>
  </w:style>
  <w:style w:type="character" w:customStyle="1" w:styleId="BoldandItalics">
    <w:name w:val="Bold and Italics"/>
    <w:qFormat/>
    <w:rsid w:val="00297C60"/>
    <w:rPr>
      <w:b/>
      <w:i/>
      <w:u w:val="none"/>
    </w:rPr>
  </w:style>
  <w:style w:type="paragraph" w:styleId="BalloonText">
    <w:name w:val="Balloon Text"/>
    <w:basedOn w:val="Normal"/>
    <w:link w:val="BalloonTextChar"/>
    <w:rsid w:val="00297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C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C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C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C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C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C60"/>
    <w:pPr>
      <w:spacing w:before="0" w:after="0"/>
    </w:pPr>
  </w:style>
  <w:style w:type="paragraph" w:customStyle="1" w:styleId="BodyTextBold">
    <w:name w:val="Body Text Bold"/>
    <w:basedOn w:val="BodyText"/>
    <w:qFormat/>
    <w:rsid w:val="00297C60"/>
    <w:rPr>
      <w:b/>
    </w:rPr>
  </w:style>
  <w:style w:type="character" w:styleId="Hyperlink">
    <w:name w:val="Hyperlink"/>
    <w:basedOn w:val="DefaultParagraphFont"/>
    <w:uiPriority w:val="99"/>
    <w:unhideWhenUsed/>
    <w:rsid w:val="00854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4206</Characters>
  <Application>Microsoft Office Word</Application>
  <DocSecurity>0</DocSecurity>
  <Lines>191</Lines>
  <Paragraphs>101</Paragraphs>
  <ScaleCrop>false</ScaleCrop>
  <Company>Author-it Software Corporation Ltd.</Company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TLIB4071 Install and maintain pole mounted switches and transformers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