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6EF" w:rsidP="004D7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TLIB3129 Conduct pre-movement checks on rolling stock</w:t>
      </w:r>
      <w:r>
        <w:fldChar w:fldCharType="end"/>
      </w:r>
    </w:p>
    <w:p w:rsidR="004D76EF" w:rsidP="004D76EF">
      <w:pPr>
        <w:pStyle w:val="Version"/>
        <w:sectPr w:rsidSect="003B6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625C" w:rsidP="003B625C">
      <w:pPr>
        <w:pStyle w:val="SuperHeading"/>
      </w:pPr>
      <w:r w:rsidRPr="003B625C">
        <w:t>TLIB3129 Conduct pre-movement checks on rolling stock</w:t>
      </w:r>
    </w:p>
    <w:p w:rsidR="00000000" w:rsidRPr="003B625C" w:rsidP="003B625C">
      <w:pPr>
        <w:pStyle w:val="Heading1"/>
      </w:pPr>
      <w:bookmarkStart w:id="1" w:name="O_1195830"/>
      <w:bookmarkEnd w:id="1"/>
      <w:r w:rsidRPr="003B62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Release 2</w:t>
            </w:r>
            <w:r w:rsidRPr="003B625C">
              <w:t>. This is the second release of this unit of competency in the TLI Transport and Logistics Training Package:</w:t>
            </w:r>
          </w:p>
          <w:p w:rsidR="00000000" w:rsidRPr="003B625C" w:rsidP="003B625C">
            <w:pPr>
              <w:pStyle w:val="ListBullet"/>
            </w:pPr>
            <w:r w:rsidRPr="003B625C">
              <w:t>Minor statement changes in Performance Criteria</w:t>
            </w:r>
          </w:p>
          <w:p w:rsidR="00000000" w:rsidRPr="003B625C" w:rsidP="003B625C">
            <w:pPr>
              <w:pStyle w:val="ListBullet"/>
            </w:pPr>
            <w:r w:rsidRPr="003B625C">
              <w:t>Minor statement changes in Performance Evidence</w:t>
            </w:r>
          </w:p>
          <w:p w:rsidR="00000000" w:rsidP="003B625C">
            <w:pPr>
              <w:pStyle w:val="ListBullet"/>
              <w:rPr>
                <w:lang w:val="en-NZ"/>
              </w:rPr>
            </w:pPr>
            <w:r w:rsidRPr="003B625C">
              <w:t>Mi</w:t>
            </w:r>
            <w:r w:rsidRPr="003B625C">
              <w:t>nor statement changes in Assessment Conditions.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Release 1</w:t>
            </w:r>
            <w:r w:rsidRPr="003B625C">
              <w:t>. This is the first release of this unit of competency in the TLI Transport and Logistics Training Package.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2" w:name="O_1195829"/>
      <w:bookmarkEnd w:id="2"/>
      <w:r w:rsidRPr="003B62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>This unit involves the skills and knowledge required to c</w:t>
            </w:r>
            <w:r w:rsidRPr="003B625C">
              <w:t>onduct pre-movement checks on rolling stock in accordance with relevant workplace practices, regulations and codes of practice.</w:t>
            </w:r>
          </w:p>
          <w:p w:rsidR="00000000" w:rsidRPr="003B625C" w:rsidP="003B625C">
            <w:pPr>
              <w:pStyle w:val="BodyText"/>
            </w:pPr>
            <w:r w:rsidRPr="003B625C">
              <w:t>It includes conducting pre-movement checks, moving and stabling the rolling stock in accordance with organisational requirements</w:t>
            </w:r>
            <w:r w:rsidRPr="003B625C">
              <w:t>.</w:t>
            </w:r>
          </w:p>
          <w:p w:rsidR="00000000" w:rsidRPr="003B625C" w:rsidP="003B625C">
            <w:pPr>
              <w:pStyle w:val="BodyText"/>
            </w:pPr>
            <w:r w:rsidRPr="003B625C">
              <w:t>This unit applies to people required to carry out these activities as part of a maintenance role within a defined location.</w:t>
            </w:r>
          </w:p>
          <w:p w:rsidR="00000000" w:rsidRPr="003B625C" w:rsidP="003B625C">
            <w:pPr>
              <w:pStyle w:val="BodyText"/>
            </w:pPr>
            <w:r w:rsidRPr="003B625C">
              <w:t>No licensing, legislative or certification requirements apply to this unit at the time of publication.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3" w:name="O_1195828"/>
      <w:bookmarkEnd w:id="3"/>
      <w:r w:rsidRPr="003B62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>Not applicable.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4" w:name="O_1195827"/>
      <w:bookmarkEnd w:id="4"/>
      <w:r w:rsidRPr="003B62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>B – Equipment Checking and Maintenance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5" w:name="O_1195826"/>
      <w:bookmarkEnd w:id="5"/>
      <w:r w:rsidRPr="003B62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>Rail sector.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6" w:name="O_1195825"/>
      <w:bookmarkEnd w:id="6"/>
      <w:r w:rsidRPr="003B625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097"/>
        <w:gridCol w:w="603"/>
        <w:gridCol w:w="643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ELEMENTS</w:t>
            </w:r>
          </w:p>
        </w:tc>
        <w:tc>
          <w:tcPr>
            <w:tcW w:w="7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PERFORMANCE CRITERIA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 xml:space="preserve">Elements describe the </w:t>
            </w:r>
            <w:r w:rsidRPr="003B625C">
              <w:t>essential outcomes.</w:t>
            </w:r>
          </w:p>
        </w:tc>
        <w:tc>
          <w:tcPr>
            <w:tcW w:w="7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 xml:space="preserve">Performance criteria describe the performance needed to demonstrate </w:t>
            </w:r>
            <w:r w:rsidRPr="003B625C">
              <w:t>achievement of the element.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1</w:t>
            </w:r>
          </w:p>
        </w:tc>
        <w:tc>
          <w:tcPr>
            <w:tcW w:w="20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Carry out pre-movement checks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1.1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Allocation of rolling stock is checked in conjunction with appropriate personne</w:t>
            </w:r>
            <w:r w:rsidRPr="003B625C">
              <w:t>l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1.2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Rolling stock to be inspected and prepared is located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1.3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Hazards are identified, risks are assessed and control measures are implemented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1.4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Completion of all maintenance activities is confirmed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1.5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Checks for safety controls are conducted in accordance with workplace procedures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1.6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Internal and external integrity checks are conducted in accordance with workplace procedures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1.7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Fluid levels are checked and appropriate actions taken, as required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2</w:t>
            </w:r>
          </w:p>
        </w:tc>
        <w:tc>
          <w:tcPr>
            <w:tcW w:w="20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Move rolling stock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2.1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Rolling stock is shunted in accordance with manufacturer instructions and/or organisational procedures, and faults are recognised, diagnosed, reported and recorded in appropriate records for follow-up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2.2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For critical or seriou</w:t>
            </w:r>
            <w:r w:rsidRPr="003B625C">
              <w:t>s equipment faults that cannot be readily rectified, rolling stock shunt is halted, faulty equipment is isolated and tagged, and problem is reported for rectification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2.3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F</w:t>
            </w:r>
            <w:r w:rsidRPr="003B625C">
              <w:t>unctionality of equipment is interpreted to confirm effective air and electrical operation, and where a problem is indicated, actions are taken to determine the cause and to rectify or report the situation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2.4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Fluid levels are rechecked after starting and appropriate actions taken, as required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3</w:t>
            </w:r>
          </w:p>
        </w:tc>
        <w:tc>
          <w:tcPr>
            <w:tcW w:w="20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rPr>
                <w:rStyle w:val="SpecialBold"/>
              </w:rPr>
              <w:t>Stable rolling stock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3.1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Correct clearances for stabling location are confirmed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3.2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Rolling stock is secured in accordance with workplace procedures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3.3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t>Personal or equipment lockouts are applied in accordance with workplace procedures, as required</w:t>
            </w:r>
          </w:p>
        </w:tc>
      </w:tr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>
            <w:pPr>
              <w:pStyle w:val="BodyText"/>
              <w:keepLines w:val="0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25C">
            <w:pPr>
              <w:pStyle w:val="BodyText"/>
              <w:rPr>
                <w:lang w:val="en-NZ"/>
              </w:rPr>
            </w:pPr>
            <w:r w:rsidRPr="003B625C">
              <w:rPr>
                <w:rStyle w:val="SpecialBold"/>
              </w:rPr>
              <w:t>3.4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>Appropriate documentation is confirmed, completed and processed in accordance with workplace procedures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7" w:name="O_1195824"/>
      <w:bookmarkEnd w:id="7"/>
      <w:r w:rsidRPr="003B62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>Foundation skills essential to performance are explicit in the performance criteria of this unit of competency.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8" w:name="O_1195823"/>
      <w:bookmarkEnd w:id="8"/>
      <w:r w:rsidRPr="003B62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>Range is restricted to essential operating conditions and any other variables essential to the work env</w:t>
            </w:r>
            <w:r w:rsidRPr="003B625C">
              <w:t>ironment.</w:t>
            </w:r>
          </w:p>
          <w:p w:rsidR="00000000" w:rsidRPr="003B625C" w:rsidP="003B625C">
            <w:pPr>
              <w:pStyle w:val="BodyText"/>
            </w:pPr>
            <w:r w:rsidRPr="003B625C">
              <w:t>Non-essential conditions can be found in the TLI Transport and Logistics Training Package Companion Volume Implementation Guide.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9" w:name="O_1195822"/>
      <w:bookmarkEnd w:id="9"/>
      <w:r w:rsidRPr="003B62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2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25C" w:rsidP="003B625C">
            <w:pPr>
              <w:pStyle w:val="BodyText"/>
            </w:pPr>
            <w:r w:rsidRPr="003B625C">
              <w:t xml:space="preserve">This unit replaces and is equivalent to TLIB3129A Conduct pre-movement </w:t>
            </w:r>
            <w:r w:rsidRPr="003B625C">
              <w:t>checks on rolling stock.</w:t>
            </w:r>
          </w:p>
        </w:tc>
      </w:tr>
    </w:tbl>
    <w:p w:rsidR="00000000" w:rsidRPr="003B625C" w:rsidP="003B625C">
      <w:pPr>
        <w:pStyle w:val="NoPaddingFontSize1"/>
      </w:pPr>
    </w:p>
    <w:p w:rsidR="00000000" w:rsidRPr="003B625C" w:rsidP="003B625C">
      <w:pPr>
        <w:pStyle w:val="AllowPageBreak"/>
      </w:pPr>
    </w:p>
    <w:p w:rsidR="00000000" w:rsidRPr="003B625C" w:rsidP="003B625C">
      <w:pPr>
        <w:pStyle w:val="Heading1"/>
      </w:pPr>
      <w:bookmarkStart w:id="10" w:name="O_1195831"/>
      <w:bookmarkEnd w:id="10"/>
      <w:r w:rsidRPr="003B625C">
        <w:t>Links</w:t>
      </w:r>
    </w:p>
    <w:p w:rsidR="00000000" w:rsidRPr="003B625C" w:rsidP="004D76EF">
      <w:pPr>
        <w:pStyle w:val="BodyText"/>
      </w:pPr>
      <w:r w:rsidRPr="003B62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2A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625C" w:rsidP="003B625C"/>
    <w:sectPr w:rsidSect="003B62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5C" w:rsidRPr="004D76EF" w:rsidP="004D7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EF" w:rsidP="003B6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6EF" w:rsidP="003B6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76EF" w:rsidP="003B6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25C" w:rsidRPr="004D76EF" w:rsidP="004D7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EF" w:rsidRPr="002D2AF8" w:rsidP="003B6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TLIB3129 Conduct pre-movement checks on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D76EF" w:rsidP="003B6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B4B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D0B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25C"/>
  </w:style>
  <w:style w:type="character" w:customStyle="1" w:styleId="Heading1Char">
    <w:name w:val="Heading 1 Char"/>
    <w:basedOn w:val="DefaultParagraphFont"/>
    <w:link w:val="Heading1"/>
    <w:rsid w:val="003B6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2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2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2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25C"/>
    <w:rPr>
      <w:b/>
      <w:spacing w:val="0"/>
    </w:rPr>
  </w:style>
  <w:style w:type="paragraph" w:customStyle="1" w:styleId="SuperHeading">
    <w:name w:val="SuperHeading"/>
    <w:basedOn w:val="Normal"/>
    <w:rsid w:val="003B6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6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2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2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2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2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2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25C"/>
    <w:rPr>
      <w:i/>
    </w:rPr>
  </w:style>
  <w:style w:type="paragraph" w:styleId="Caption">
    <w:name w:val="caption"/>
    <w:basedOn w:val="BodyText"/>
    <w:next w:val="Normal"/>
    <w:qFormat/>
    <w:rsid w:val="003B6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25C"/>
  </w:style>
  <w:style w:type="paragraph" w:styleId="TableofFigures">
    <w:name w:val="table of figures"/>
    <w:basedOn w:val="Normal"/>
    <w:next w:val="Normal"/>
    <w:semiHidden/>
    <w:rsid w:val="003B6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2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25C"/>
    <w:rPr>
      <w:rFonts w:ascii="Wingdings" w:hAnsi="Wingdings"/>
    </w:rPr>
  </w:style>
  <w:style w:type="paragraph" w:customStyle="1" w:styleId="TableHeading">
    <w:name w:val="Table Heading"/>
    <w:basedOn w:val="HeadingBase"/>
    <w:rsid w:val="003B6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25C"/>
    <w:rPr>
      <w:color w:val="0033CC"/>
      <w:u w:val="none"/>
    </w:rPr>
  </w:style>
  <w:style w:type="paragraph" w:customStyle="1" w:styleId="BodyTextRight">
    <w:name w:val="Body Text Right"/>
    <w:basedOn w:val="BodyText"/>
    <w:rsid w:val="003B6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2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25C"/>
    <w:rPr>
      <w:sz w:val="32"/>
    </w:rPr>
  </w:style>
  <w:style w:type="paragraph" w:customStyle="1" w:styleId="HeadingProcedure">
    <w:name w:val="Heading Procedure"/>
    <w:basedOn w:val="HeadingBase"/>
    <w:next w:val="Normal"/>
    <w:rsid w:val="003B6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25C"/>
    <w:pPr>
      <w:spacing w:before="60" w:after="60"/>
    </w:pPr>
  </w:style>
  <w:style w:type="paragraph" w:styleId="ListContinue">
    <w:name w:val="List Continue"/>
    <w:basedOn w:val="List"/>
    <w:rsid w:val="003B625C"/>
    <w:pPr>
      <w:ind w:firstLine="0"/>
    </w:pPr>
  </w:style>
  <w:style w:type="paragraph" w:customStyle="1" w:styleId="ListNote">
    <w:name w:val="List Note"/>
    <w:basedOn w:val="List"/>
    <w:rsid w:val="003B6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25C"/>
    <w:rPr>
      <w:rFonts w:ascii="Courier New" w:hAnsi="Courier New"/>
    </w:rPr>
  </w:style>
  <w:style w:type="paragraph" w:customStyle="1" w:styleId="NoteBullet">
    <w:name w:val="Note Bullet"/>
    <w:basedOn w:val="Note"/>
    <w:rsid w:val="003B6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2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2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2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25C"/>
    <w:rPr>
      <w:b/>
      <w:smallCaps/>
    </w:rPr>
  </w:style>
  <w:style w:type="paragraph" w:customStyle="1" w:styleId="TableListNumber">
    <w:name w:val="Table List Number"/>
    <w:basedOn w:val="ListNumber"/>
    <w:rsid w:val="003B6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25C"/>
    <w:pPr>
      <w:numPr>
        <w:numId w:val="8"/>
      </w:numPr>
    </w:pPr>
  </w:style>
  <w:style w:type="paragraph" w:customStyle="1" w:styleId="ListAlpha2">
    <w:name w:val="List Alpha 2"/>
    <w:basedOn w:val="List2"/>
    <w:rsid w:val="003B625C"/>
    <w:pPr>
      <w:numPr>
        <w:numId w:val="7"/>
      </w:numPr>
    </w:pPr>
  </w:style>
  <w:style w:type="paragraph" w:styleId="List2">
    <w:name w:val="List 2"/>
    <w:basedOn w:val="BodyText"/>
    <w:rsid w:val="003B6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2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2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25C"/>
    <w:pPr>
      <w:numPr>
        <w:numId w:val="3"/>
      </w:numPr>
    </w:pPr>
  </w:style>
  <w:style w:type="paragraph" w:styleId="ListContinue2">
    <w:name w:val="List Continue 2"/>
    <w:basedOn w:val="List2"/>
    <w:rsid w:val="003B625C"/>
    <w:pPr>
      <w:ind w:firstLine="0"/>
    </w:pPr>
  </w:style>
  <w:style w:type="paragraph" w:styleId="ListContinue3">
    <w:name w:val="List Continue 3"/>
    <w:basedOn w:val="List3"/>
    <w:rsid w:val="003B625C"/>
    <w:pPr>
      <w:ind w:left="1021" w:firstLine="0"/>
    </w:pPr>
  </w:style>
  <w:style w:type="paragraph" w:styleId="ListContinue4">
    <w:name w:val="List Continue 4"/>
    <w:basedOn w:val="List4"/>
    <w:rsid w:val="003B625C"/>
    <w:pPr>
      <w:ind w:firstLine="0"/>
    </w:pPr>
  </w:style>
  <w:style w:type="paragraph" w:styleId="ListContinue5">
    <w:name w:val="List Continue 5"/>
    <w:basedOn w:val="List5"/>
    <w:rsid w:val="003B625C"/>
    <w:pPr>
      <w:ind w:firstLine="0"/>
    </w:pPr>
  </w:style>
  <w:style w:type="paragraph" w:styleId="ListNumber3">
    <w:name w:val="List Number 3"/>
    <w:basedOn w:val="List3"/>
    <w:rsid w:val="003B625C"/>
    <w:pPr>
      <w:numPr>
        <w:numId w:val="4"/>
      </w:numPr>
    </w:pPr>
  </w:style>
  <w:style w:type="paragraph" w:styleId="ListNumber4">
    <w:name w:val="List Number 4"/>
    <w:basedOn w:val="List4"/>
    <w:rsid w:val="003B625C"/>
    <w:pPr>
      <w:numPr>
        <w:numId w:val="5"/>
      </w:numPr>
    </w:pPr>
  </w:style>
  <w:style w:type="paragraph" w:styleId="ListNumber5">
    <w:name w:val="List Number 5"/>
    <w:basedOn w:val="List5"/>
    <w:rsid w:val="003B625C"/>
    <w:pPr>
      <w:numPr>
        <w:numId w:val="6"/>
      </w:numPr>
    </w:pPr>
  </w:style>
  <w:style w:type="paragraph" w:styleId="BlockText">
    <w:name w:val="Block Text"/>
    <w:basedOn w:val="Normal"/>
    <w:rsid w:val="003B6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25C"/>
    <w:rPr>
      <w:sz w:val="16"/>
      <w:vertAlign w:val="superscript"/>
    </w:rPr>
  </w:style>
  <w:style w:type="character" w:customStyle="1" w:styleId="Symbols">
    <w:name w:val="Symbols"/>
    <w:basedOn w:val="DefaultParagraphFont"/>
    <w:rsid w:val="003B625C"/>
    <w:rPr>
      <w:rFonts w:ascii="Symbol" w:hAnsi="Symbol"/>
    </w:rPr>
  </w:style>
  <w:style w:type="character" w:customStyle="1" w:styleId="MenuOptions">
    <w:name w:val="Menu Options"/>
    <w:basedOn w:val="DefaultParagraphFont"/>
    <w:rsid w:val="003B6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25C"/>
    <w:rPr>
      <w:b/>
    </w:rPr>
  </w:style>
  <w:style w:type="character" w:customStyle="1" w:styleId="Underlined">
    <w:name w:val="Underlined"/>
    <w:basedOn w:val="DefaultParagraphFont"/>
    <w:rsid w:val="003B625C"/>
    <w:rPr>
      <w:u w:val="single"/>
    </w:rPr>
  </w:style>
  <w:style w:type="paragraph" w:customStyle="1" w:styleId="TableBodyTextRight">
    <w:name w:val="Table Body Text Right"/>
    <w:basedOn w:val="TableBodyText"/>
    <w:rsid w:val="003B6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25C"/>
    <w:rPr>
      <w:sz w:val="18"/>
    </w:rPr>
  </w:style>
  <w:style w:type="paragraph" w:customStyle="1" w:styleId="BodySmallRight">
    <w:name w:val="Body Small Right"/>
    <w:basedOn w:val="BodyTextRight"/>
    <w:rsid w:val="003B625C"/>
    <w:rPr>
      <w:sz w:val="18"/>
      <w:szCs w:val="18"/>
    </w:rPr>
  </w:style>
  <w:style w:type="paragraph" w:customStyle="1" w:styleId="MarginEdition">
    <w:name w:val="Margin Edition"/>
    <w:basedOn w:val="MarginNote"/>
    <w:rsid w:val="003B6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25C"/>
    <w:rPr>
      <w:sz w:val="2"/>
      <w:szCs w:val="2"/>
    </w:rPr>
  </w:style>
  <w:style w:type="character" w:customStyle="1" w:styleId="Small">
    <w:name w:val="Small"/>
    <w:basedOn w:val="DefaultParagraphFont"/>
    <w:rsid w:val="003B625C"/>
    <w:rPr>
      <w:sz w:val="16"/>
    </w:rPr>
  </w:style>
  <w:style w:type="paragraph" w:customStyle="1" w:styleId="WideTable">
    <w:name w:val="Wide Table"/>
    <w:basedOn w:val="Normal"/>
    <w:rsid w:val="003B6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25C"/>
  </w:style>
  <w:style w:type="paragraph" w:styleId="Quote">
    <w:name w:val="Quote"/>
    <w:basedOn w:val="Heading1"/>
    <w:link w:val="QuoteChar"/>
    <w:qFormat/>
    <w:rsid w:val="003B6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25C"/>
    <w:pPr>
      <w:pageBreakBefore/>
    </w:pPr>
  </w:style>
  <w:style w:type="paragraph" w:customStyle="1" w:styleId="Border">
    <w:name w:val="Border"/>
    <w:basedOn w:val="Normal"/>
    <w:qFormat/>
    <w:rsid w:val="003B6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25C"/>
    <w:rPr>
      <w:u w:val="single"/>
    </w:rPr>
  </w:style>
  <w:style w:type="character" w:customStyle="1" w:styleId="BoldandItalics">
    <w:name w:val="Bold and Italics"/>
    <w:qFormat/>
    <w:rsid w:val="003B625C"/>
    <w:rPr>
      <w:b/>
      <w:i/>
      <w:u w:val="none"/>
    </w:rPr>
  </w:style>
  <w:style w:type="paragraph" w:styleId="BalloonText">
    <w:name w:val="Balloon Text"/>
    <w:basedOn w:val="Normal"/>
    <w:link w:val="BalloonTextChar"/>
    <w:rsid w:val="003B6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2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2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25C"/>
    <w:pPr>
      <w:spacing w:before="0" w:after="0"/>
    </w:pPr>
  </w:style>
  <w:style w:type="paragraph" w:customStyle="1" w:styleId="BodyTextBold">
    <w:name w:val="Body Text Bold"/>
    <w:basedOn w:val="BodyText"/>
    <w:qFormat/>
    <w:rsid w:val="003B625C"/>
    <w:rPr>
      <w:b/>
    </w:rPr>
  </w:style>
  <w:style w:type="character" w:styleId="Hyperlink">
    <w:name w:val="Hyperlink"/>
    <w:basedOn w:val="DefaultParagraphFont"/>
    <w:uiPriority w:val="99"/>
    <w:unhideWhenUsed/>
    <w:rsid w:val="004D7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3401</Characters>
  <Application>Microsoft Office Word</Application>
  <DocSecurity>0</DocSecurity>
  <Lines>161</Lines>
  <Paragraphs>85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TLIB3129 Conduct pre-movement checks on rolling stock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