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49F" w:rsidP="00D8449F">
      <w:pPr>
        <w:pStyle w:val="Title"/>
      </w:pPr>
      <w:r>
        <w:fldChar w:fldCharType="begin"/>
      </w:r>
      <w:r>
        <w:instrText xml:space="preserve"> TITLE   \* MERGEFORMAT </w:instrText>
      </w:r>
      <w:r>
        <w:fldChar w:fldCharType="separate"/>
      </w:r>
      <w:r>
        <w:t>TLIB3129 Conduct pre-movement checks on rolling stock</w:t>
      </w:r>
      <w:r>
        <w:fldChar w:fldCharType="end"/>
      </w:r>
    </w:p>
    <w:p w:rsidR="00D8449F" w:rsidP="00D8449F">
      <w:pPr>
        <w:pStyle w:val="Version"/>
        <w:sectPr w:rsidSect="009258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58EF" w:rsidP="009258EF">
      <w:pPr>
        <w:pStyle w:val="SuperHeading"/>
      </w:pPr>
      <w:r w:rsidRPr="009258EF">
        <w:t>TLIB3129 Conduct pre-movement checks on rolling stock</w:t>
      </w:r>
    </w:p>
    <w:p w:rsidR="00000000" w:rsidRPr="009258EF" w:rsidP="009258EF">
      <w:pPr>
        <w:pStyle w:val="Heading1"/>
      </w:pPr>
      <w:bookmarkStart w:id="1" w:name="O_1195830"/>
      <w:bookmarkEnd w:id="1"/>
      <w:r w:rsidRPr="009258EF">
        <w:t>Modification History</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Release 2</w:t>
            </w:r>
            <w:r w:rsidRPr="009258EF">
              <w:t>. This is the second release of this unit of competency in the TLI Transport and Logistics Training Package:</w:t>
            </w:r>
          </w:p>
          <w:p w:rsidR="00000000" w:rsidRPr="009258EF" w:rsidP="009258EF">
            <w:pPr>
              <w:pStyle w:val="ListBullet"/>
            </w:pPr>
            <w:r w:rsidRPr="009258EF">
              <w:t>Minor statement changes in Performance Criteria</w:t>
            </w:r>
          </w:p>
          <w:p w:rsidR="00000000" w:rsidRPr="009258EF" w:rsidP="009258EF">
            <w:pPr>
              <w:pStyle w:val="ListBullet"/>
            </w:pPr>
            <w:r w:rsidRPr="009258EF">
              <w:t>Minor statement changes in Performance Evidence</w:t>
            </w:r>
          </w:p>
          <w:p w:rsidR="00000000" w:rsidP="009258EF">
            <w:pPr>
              <w:pStyle w:val="ListBullet"/>
              <w:rPr>
                <w:lang w:val="en-NZ"/>
              </w:rPr>
            </w:pPr>
            <w:r w:rsidRPr="009258EF">
              <w:t>Mi</w:t>
            </w:r>
            <w:r w:rsidRPr="009258EF">
              <w:t>nor statement changes in Assessment Conditions.</w:t>
            </w:r>
          </w:p>
        </w:tc>
      </w:tr>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Release 1</w:t>
            </w:r>
            <w:r w:rsidRPr="009258EF">
              <w:t>. This is the first release of this unit of competency in the TLI Transport and Logistics Training Package.</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2" w:name="O_1195829"/>
      <w:bookmarkEnd w:id="2"/>
      <w:r w:rsidRPr="009258EF">
        <w:t>Application</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This unit involves the skills and knowledge required to c</w:t>
            </w:r>
            <w:r w:rsidRPr="009258EF">
              <w:t>onduct pre-movement checks on rolling stock in accordance with relevant workplace practices, regulations and codes of practice.</w:t>
            </w:r>
          </w:p>
          <w:p w:rsidR="00000000" w:rsidRPr="009258EF" w:rsidP="009258EF">
            <w:pPr>
              <w:pStyle w:val="BodyText"/>
            </w:pPr>
            <w:r w:rsidRPr="009258EF">
              <w:t>It includes conducting pre-movement checks, moving and stabling the rolling stock in accordance with organisational requirements</w:t>
            </w:r>
            <w:r w:rsidRPr="009258EF">
              <w:t>.</w:t>
            </w:r>
          </w:p>
          <w:p w:rsidR="00000000" w:rsidRPr="009258EF" w:rsidP="009258EF">
            <w:pPr>
              <w:pStyle w:val="BodyText"/>
            </w:pPr>
            <w:r w:rsidRPr="009258EF">
              <w:t>This unit applies to people required to carry out these activities as part of a maintenance role within a defined location.</w:t>
            </w:r>
          </w:p>
          <w:p w:rsidR="00000000" w:rsidRPr="009258EF" w:rsidP="009258EF">
            <w:pPr>
              <w:pStyle w:val="BodyText"/>
            </w:pPr>
            <w:r w:rsidRPr="009258EF">
              <w:t>No licensing, legislative or certification requirements apply to this unit at the time of publication.</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3" w:name="O_1195828"/>
      <w:bookmarkEnd w:id="3"/>
      <w:r w:rsidRPr="009258EF">
        <w:t>Pre-requisite Unit</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Not applicable.</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4" w:name="O_1195827"/>
      <w:bookmarkEnd w:id="4"/>
      <w:r w:rsidRPr="009258EF">
        <w:t>Competency Field</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B – Equipment Checking and Maintenance</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5" w:name="O_1195826"/>
      <w:bookmarkEnd w:id="5"/>
      <w:r w:rsidRPr="009258EF">
        <w:t>Unit Sector</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Rail sector.</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6" w:name="O_1195825"/>
      <w:bookmarkEnd w:id="6"/>
      <w:r w:rsidRPr="009258EF">
        <w:t>Elements and Performance Criteria</w:t>
      </w:r>
    </w:p>
    <w:tbl>
      <w:tblPr>
        <w:tblW w:w="9497" w:type="dxa"/>
        <w:tblLayout w:type="fixed"/>
        <w:tblCellMar>
          <w:left w:w="62" w:type="dxa"/>
          <w:right w:w="62" w:type="dxa"/>
        </w:tblCellMar>
        <w:tblLook w:val="0000"/>
      </w:tblPr>
      <w:tblGrid>
        <w:gridCol w:w="360"/>
        <w:gridCol w:w="2097"/>
        <w:gridCol w:w="603"/>
        <w:gridCol w:w="6437"/>
      </w:tblGrid>
      <w:tr w:rsidTr="009258EF">
        <w:tblPrEx>
          <w:tblW w:w="9497" w:type="dxa"/>
          <w:tblLayout w:type="fixed"/>
          <w:tblCellMar>
            <w:left w:w="62" w:type="dxa"/>
            <w:right w:w="62" w:type="dxa"/>
          </w:tblCellMar>
          <w:tblLook w:val="0000"/>
        </w:tblPrEx>
        <w:tc>
          <w:tcPr>
            <w:tcW w:w="2457" w:type="dxa"/>
            <w:gridSpan w:val="2"/>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ELEMENTS</w:t>
            </w:r>
          </w:p>
        </w:tc>
        <w:tc>
          <w:tcPr>
            <w:tcW w:w="7040" w:type="dxa"/>
            <w:gridSpan w:val="2"/>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PERFORMANCE CRITERIA</w:t>
            </w:r>
          </w:p>
        </w:tc>
      </w:tr>
      <w:tr w:rsidTr="009258EF">
        <w:tblPrEx>
          <w:tblW w:w="9497" w:type="dxa"/>
          <w:tblLayout w:type="fixed"/>
          <w:tblCellMar>
            <w:left w:w="62" w:type="dxa"/>
            <w:right w:w="62" w:type="dxa"/>
          </w:tblCellMar>
          <w:tblLook w:val="0000"/>
        </w:tblPrEx>
        <w:tc>
          <w:tcPr>
            <w:tcW w:w="2457" w:type="dxa"/>
            <w:gridSpan w:val="2"/>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 xml:space="preserve">Elements describe the </w:t>
            </w:r>
            <w:r w:rsidRPr="009258EF">
              <w:t>essential outcomes.</w:t>
            </w:r>
          </w:p>
        </w:tc>
        <w:tc>
          <w:tcPr>
            <w:tcW w:w="7040" w:type="dxa"/>
            <w:gridSpan w:val="2"/>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 xml:space="preserve">Performance criteria describe the performance needed to demonstrate </w:t>
            </w:r>
            <w:r w:rsidRPr="009258EF">
              <w:t>achievement of the element.</w:t>
            </w:r>
          </w:p>
        </w:tc>
      </w:tr>
      <w:tr w:rsidTr="009258EF">
        <w:tblPrEx>
          <w:tblW w:w="9497"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1</w:t>
            </w:r>
          </w:p>
        </w:tc>
        <w:tc>
          <w:tcPr>
            <w:tcW w:w="2097" w:type="dxa"/>
            <w:vMerge w:val="restart"/>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Carry out pre-movement checks</w:t>
            </w: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1.1</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Allocation of rolling stock is checked in conjunction with appropriate personne</w:t>
            </w:r>
            <w:r w:rsidRPr="009258EF">
              <w:t>l</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1.2</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Rolling stock to be inspected and prepared is located</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1.3</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Hazards are identified, risks are assessed and control measures are implemented</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1.4</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Completion of all maintenance activities is confirmed</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1.5</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Checks for safety controls are conducted in accordance with workplace procedures</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1.6</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Internal and external integrity checks are conducted in accordance with workplace procedures</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1.7</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Fluid levels are checked and appropriate actions taken, as required</w:t>
            </w:r>
          </w:p>
        </w:tc>
      </w:tr>
      <w:tr w:rsidTr="009258EF">
        <w:tblPrEx>
          <w:tblW w:w="9497"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2</w:t>
            </w:r>
          </w:p>
        </w:tc>
        <w:tc>
          <w:tcPr>
            <w:tcW w:w="2097" w:type="dxa"/>
            <w:vMerge w:val="restart"/>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Move rolling stock</w:t>
            </w: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2.1</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Rolling stock is shunted in accordance with manufacturer instructions and/or organisational procedures, and faults are recognised, diagnosed, reported and recorded in appropriate records for follow-up</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2.2</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For critical or serious equipment faults that cannot be readily rectified, rolling stock shunt is halted, faulty equipment is isolated and tagged, and problem is reported for rectification</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2.3</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Functionality of equipment is interpreted to confirm effecti</w:t>
            </w:r>
            <w:r w:rsidRPr="009258EF">
              <w:t>ve air and electrical operation, and where a problem is indicated, actions are taken to determine the cause and to rectify or report the situation</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2.4</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Fluid levels are rechecked after starting and appropriate actions taken, as required</w:t>
            </w:r>
          </w:p>
        </w:tc>
      </w:tr>
      <w:tr w:rsidTr="009258EF">
        <w:tblPrEx>
          <w:tblW w:w="9497"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3</w:t>
            </w:r>
          </w:p>
        </w:tc>
        <w:tc>
          <w:tcPr>
            <w:tcW w:w="2097" w:type="dxa"/>
            <w:vMerge w:val="restart"/>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Stable rolling stock</w:t>
            </w: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3.1</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Correct clearances for stabling location are confirmed</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3.2</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Rolling stock is secured in accordance with workplace procedures</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3.3</w:t>
            </w:r>
          </w:p>
        </w:tc>
        <w:tc>
          <w:tcPr>
            <w:tcW w:w="643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Personal or equipment lockouts are applied in accordance with workplace procedures, as required</w:t>
            </w:r>
          </w:p>
        </w:tc>
      </w:tr>
      <w:tr w:rsidTr="009258EF">
        <w:tblPrEx>
          <w:tblW w:w="9497"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097" w:type="dxa"/>
            <w:vMerge/>
            <w:tcBorders>
              <w:top w:val="nil"/>
              <w:left w:val="nil"/>
              <w:bottom w:val="nil"/>
              <w:right w:val="nil"/>
            </w:tcBorders>
            <w:tcMar>
              <w:top w:w="0" w:type="dxa"/>
              <w:left w:w="62" w:type="dxa"/>
              <w:bottom w:w="0" w:type="dxa"/>
              <w:right w:w="62" w:type="dxa"/>
            </w:tcMar>
          </w:tcPr>
          <w:p w:rsidR="00000000" w:rsidRPr="009258EF">
            <w:pPr>
              <w:pStyle w:val="BodyText"/>
              <w:keepLines w:val="0"/>
              <w:spacing w:before="0" w:after="0"/>
            </w:pPr>
          </w:p>
        </w:tc>
        <w:tc>
          <w:tcPr>
            <w:tcW w:w="603"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rPr>
                <w:rStyle w:val="SpecialBold"/>
              </w:rPr>
              <w:t>3.4</w:t>
            </w:r>
          </w:p>
        </w:tc>
        <w:tc>
          <w:tcPr>
            <w:tcW w:w="643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Appropriate documentation is confirmed, completed and processed in accordance with workplace procedures</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7" w:name="O_1195824"/>
      <w:bookmarkEnd w:id="7"/>
      <w:r w:rsidRPr="009258EF">
        <w:t>Foundation Skills</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Foundation skills essential to performance are explicit in the performance criteria of this unit of compete</w:t>
            </w:r>
            <w:r w:rsidRPr="009258EF">
              <w:t>ncy.</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8" w:name="O_1195823"/>
      <w:bookmarkEnd w:id="8"/>
      <w:r w:rsidRPr="009258EF">
        <w:t>Range of Conditions</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Range is restricted to essential operating conditions and any other variables essential to the work environment.</w:t>
            </w:r>
          </w:p>
          <w:p w:rsidR="00000000" w:rsidRPr="009258EF" w:rsidP="009258EF">
            <w:pPr>
              <w:pStyle w:val="BodyText"/>
            </w:pPr>
            <w:r w:rsidRPr="009258EF">
              <w:t>Non-essential conditions can be found in the TLI Transport and Logistics Training Package Companion Volume Implementation Guide.</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9" w:name="O_1195822"/>
      <w:bookmarkEnd w:id="9"/>
      <w:r w:rsidRPr="009258EF">
        <w:t>Unit Mapping Information</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 xml:space="preserve">This unit replaces and is equivalent to TLIB3129A Conduct pre-movement checks on </w:t>
            </w:r>
            <w:r w:rsidRPr="009258EF">
              <w:t>rolling stock.</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10" w:name="O_1195831"/>
      <w:bookmarkEnd w:id="10"/>
      <w:r w:rsidRPr="009258EF">
        <w:t>Links</w:t>
      </w:r>
    </w:p>
    <w:p w:rsidR="00000000" w:rsidRPr="009258EF" w:rsidP="00D8449F">
      <w:pPr>
        <w:pStyle w:val="BodyText"/>
      </w:pPr>
      <w:r w:rsidRPr="009258E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D4C9F">
        <w:rPr>
          <w:rStyle w:val="Hyperlink"/>
        </w:rPr>
        <w:t>https://vetnet.gov.au/Pages/TrainingDocs.aspx?q=df441c6e-213d-43e3-874c-0b3f7036d851</w:t>
      </w:r>
      <w:r>
        <w:fldChar w:fldCharType="end"/>
      </w:r>
    </w:p>
    <w:p w:rsidR="00000000" w:rsidRPr="009258EF" w:rsidP="00D8449F">
      <w:pPr>
        <w:pStyle w:val="BodyText"/>
        <w:sectPr w:rsidSect="009258EF">
          <w:headerReference w:type="default" r:id="rId10"/>
          <w:footerReference w:type="default" r:id="rId11"/>
          <w:pgSz w:w="11908" w:h="16833"/>
          <w:pgMar w:top="1702" w:right="1418" w:bottom="1702" w:left="1418" w:header="992" w:footer="992" w:gutter="0"/>
          <w:cols w:space="720"/>
          <w:noEndnote/>
          <w:docGrid w:linePitch="299"/>
        </w:sectPr>
      </w:pPr>
    </w:p>
    <w:p w:rsidR="00000000" w:rsidRPr="009258EF" w:rsidP="009258EF">
      <w:pPr>
        <w:pStyle w:val="SuperHeading"/>
      </w:pPr>
      <w:r w:rsidRPr="009258EF">
        <w:t>Assessment Requiremen</w:t>
      </w:r>
      <w:r w:rsidRPr="009258EF">
        <w:t>ts for TLIB3129 Conduct pre-movement checks on rolling stock</w:t>
      </w:r>
    </w:p>
    <w:p w:rsidR="00000000" w:rsidRPr="009258EF" w:rsidP="009258EF">
      <w:pPr>
        <w:pStyle w:val="Heading1"/>
      </w:pPr>
      <w:bookmarkStart w:id="11" w:name="O_1195820"/>
      <w:bookmarkEnd w:id="11"/>
      <w:r w:rsidRPr="009258EF">
        <w:t>Modification History</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Release 2</w:t>
            </w:r>
            <w:r w:rsidRPr="009258EF">
              <w:t>. This is the second release of this unit of competency in the TLI Transport and Logistics Training Package:</w:t>
            </w:r>
          </w:p>
          <w:p w:rsidR="00000000" w:rsidRPr="009258EF" w:rsidP="009258EF">
            <w:pPr>
              <w:pStyle w:val="ListBullet"/>
            </w:pPr>
            <w:r w:rsidRPr="009258EF">
              <w:t>Minor statement changes in Performanc</w:t>
            </w:r>
            <w:r w:rsidRPr="009258EF">
              <w:t>e Criteria</w:t>
            </w:r>
          </w:p>
          <w:p w:rsidR="00000000" w:rsidRPr="009258EF" w:rsidP="009258EF">
            <w:pPr>
              <w:pStyle w:val="ListBullet"/>
            </w:pPr>
            <w:r w:rsidRPr="009258EF">
              <w:t>Minor statement changes in Performance Evidence</w:t>
            </w:r>
          </w:p>
          <w:p w:rsidR="00000000" w:rsidP="009258EF">
            <w:pPr>
              <w:pStyle w:val="ListBullet"/>
              <w:rPr>
                <w:lang w:val="en-NZ"/>
              </w:rPr>
            </w:pPr>
            <w:r w:rsidRPr="009258EF">
              <w:t>Minor statement changes in Assessment Conditions.</w:t>
            </w:r>
          </w:p>
        </w:tc>
      </w:tr>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rPr>
                <w:rStyle w:val="SpecialBold"/>
              </w:rPr>
              <w:t>Release 1</w:t>
            </w:r>
            <w:r w:rsidRPr="009258EF">
              <w:t>. This is the first release of this unit of competency in the TLI Transport and Logistics Training Package.</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12" w:name="O_1195819"/>
      <w:bookmarkEnd w:id="12"/>
      <w:r w:rsidRPr="009258EF">
        <w:t>Performance Evidence</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rPr>
          <w:trHeight w:val="739"/>
        </w:trPr>
        <w:tc>
          <w:tcPr>
            <w:tcW w:w="949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Evidence required to demonstrate competence in this unit must be relevant to and satisfy all of the requirements of the elements and performance criteria on at least one occasion and include:</w:t>
            </w:r>
          </w:p>
        </w:tc>
      </w:tr>
      <w:tr w:rsidTr="009258EF">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9258EF" w:rsidP="009258EF">
            <w:pPr>
              <w:pStyle w:val="ListBullet"/>
            </w:pPr>
            <w:r w:rsidRPr="009258EF">
              <w:t>adapting to differences in rolling stock and associated equipment and procedures</w:t>
            </w:r>
          </w:p>
          <w:p w:rsidR="00000000" w:rsidRPr="009258EF" w:rsidP="009258EF">
            <w:pPr>
              <w:pStyle w:val="ListBullet"/>
            </w:pPr>
            <w:r w:rsidRPr="009258EF">
              <w:t>documenting outcomes of inspecting rolling stock</w:t>
            </w:r>
          </w:p>
          <w:p w:rsidR="00000000" w:rsidRPr="009258EF" w:rsidP="009258EF">
            <w:pPr>
              <w:pStyle w:val="ListBullet"/>
            </w:pPr>
            <w:r w:rsidRPr="009258EF">
              <w:t>identifying all activities carried out prior to moving rolling stock in accordance with workplace procedures</w:t>
            </w:r>
          </w:p>
          <w:p w:rsidR="00000000" w:rsidRPr="009258EF" w:rsidP="009258EF">
            <w:pPr>
              <w:pStyle w:val="ListBullet"/>
            </w:pPr>
            <w:r w:rsidRPr="009258EF">
              <w:t>identifying job h</w:t>
            </w:r>
            <w:r w:rsidRPr="009258EF">
              <w:t xml:space="preserve">azards and taking required actions to minimise, control or eliminate identified hazards </w:t>
            </w:r>
          </w:p>
          <w:p w:rsidR="00000000" w:rsidRPr="009258EF" w:rsidP="009258EF">
            <w:pPr>
              <w:pStyle w:val="ListBullet"/>
            </w:pPr>
            <w:r w:rsidRPr="009258EF">
              <w:t>identifying rolling stock stabling requirements</w:t>
            </w:r>
          </w:p>
          <w:p w:rsidR="00000000" w:rsidRPr="009258EF" w:rsidP="009258EF">
            <w:pPr>
              <w:pStyle w:val="ListBullet"/>
            </w:pPr>
            <w:r w:rsidRPr="009258EF">
              <w:t>identifying who is responsible for authorising moving rolling stock</w:t>
            </w:r>
          </w:p>
          <w:p w:rsidR="00000000" w:rsidRPr="009258EF" w:rsidP="009258EF">
            <w:pPr>
              <w:pStyle w:val="ListBullet"/>
            </w:pPr>
            <w:r w:rsidRPr="009258EF">
              <w:t>interpreting and following instructions and priorit</w:t>
            </w:r>
            <w:r w:rsidRPr="009258EF">
              <w:t>ising work</w:t>
            </w:r>
          </w:p>
          <w:p w:rsidR="00000000" w:rsidRPr="009258EF" w:rsidP="009258EF">
            <w:pPr>
              <w:pStyle w:val="ListBullet"/>
            </w:pPr>
            <w:r w:rsidRPr="009258EF">
              <w:t>modifying activities depending on operational contingencies, risk situations and environments</w:t>
            </w:r>
          </w:p>
          <w:p w:rsidR="00000000" w:rsidRPr="009258EF" w:rsidP="009258EF">
            <w:pPr>
              <w:pStyle w:val="ListBullet"/>
            </w:pPr>
            <w:r w:rsidRPr="009258EF">
              <w:t xml:space="preserve">reading, interpreting and following relevant instructions, procedures, information and signs </w:t>
            </w:r>
          </w:p>
          <w:p w:rsidR="00000000" w:rsidRPr="009258EF" w:rsidP="009258EF">
            <w:pPr>
              <w:pStyle w:val="ListBullet"/>
            </w:pPr>
            <w:r w:rsidRPr="009258EF">
              <w:t>working collaboratively with others inspecting and prepar</w:t>
            </w:r>
            <w:r w:rsidRPr="009258EF">
              <w:t>ing rolling stock.</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13" w:name="O_1195818"/>
      <w:bookmarkEnd w:id="13"/>
      <w:r w:rsidRPr="009258EF">
        <w:t>Knowledge Evidence</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9258EF">
            <w:pPr>
              <w:pStyle w:val="BodyText"/>
              <w:rPr>
                <w:lang w:val="en-NZ"/>
              </w:rPr>
            </w:pPr>
            <w:r w:rsidRPr="009258EF">
              <w:t>Evidence required to demonstrate competence in this unit must be relevant to and satisfy all of the requirements of the elements and performance criteria and include knowledge of:</w:t>
            </w:r>
          </w:p>
        </w:tc>
      </w:tr>
      <w:tr w:rsidTr="009258EF">
        <w:tblPrEx>
          <w:tblW w:w="9497" w:type="dxa"/>
          <w:tblLayout w:type="fixed"/>
          <w:tblCellMar>
            <w:left w:w="62" w:type="dxa"/>
            <w:right w:w="62" w:type="dxa"/>
          </w:tblCellMar>
          <w:tblLook w:val="0000"/>
        </w:tblPrEx>
        <w:trPr>
          <w:trHeight w:val="1269"/>
        </w:trPr>
        <w:tc>
          <w:tcPr>
            <w:tcW w:w="9497" w:type="dxa"/>
            <w:tcBorders>
              <w:top w:val="nil"/>
              <w:left w:val="nil"/>
              <w:bottom w:val="nil"/>
              <w:right w:val="nil"/>
            </w:tcBorders>
            <w:tcMar>
              <w:top w:w="0" w:type="dxa"/>
              <w:left w:w="62" w:type="dxa"/>
              <w:bottom w:w="0" w:type="dxa"/>
              <w:right w:w="62" w:type="dxa"/>
            </w:tcMar>
          </w:tcPr>
          <w:p w:rsidR="00000000" w:rsidRPr="009258EF" w:rsidP="009258EF">
            <w:pPr>
              <w:pStyle w:val="ListBullet"/>
            </w:pPr>
            <w:r w:rsidRPr="009258EF">
              <w:t>procedures for managing and controlling hazardous situations when preparing and checking rolling stock</w:t>
            </w:r>
          </w:p>
          <w:p w:rsidR="00000000" w:rsidRPr="009258EF" w:rsidP="009258EF">
            <w:pPr>
              <w:pStyle w:val="ListBullet"/>
            </w:pPr>
            <w:r w:rsidRPr="009258EF">
              <w:t>relevant system of safeworking and workplace procedures</w:t>
            </w:r>
          </w:p>
          <w:p w:rsidR="00000000" w:rsidRPr="009258EF" w:rsidP="009258EF">
            <w:pPr>
              <w:pStyle w:val="ListBullet"/>
            </w:pPr>
            <w:r w:rsidRPr="009258EF">
              <w:t>relevant work health and safety (WHS)/occupational health and safety (OHS) and environmental proc</w:t>
            </w:r>
            <w:r w:rsidRPr="009258EF">
              <w:t>edures and relevant regulations</w:t>
            </w:r>
          </w:p>
          <w:p w:rsidR="00000000" w:rsidRPr="009258EF" w:rsidP="009258EF">
            <w:pPr>
              <w:pStyle w:val="ListBullet"/>
            </w:pPr>
            <w:r w:rsidRPr="009258EF">
              <w:t>requirements for completing relevant documentation when inspecting and preparing rolling stock.</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14" w:name="O_1195817"/>
      <w:bookmarkEnd w:id="14"/>
      <w:r w:rsidRPr="009258EF">
        <w:t>Assessment Conditions</w:t>
      </w:r>
    </w:p>
    <w:tbl>
      <w:tblPr>
        <w:tblW w:w="9497" w:type="dxa"/>
        <w:tblLayout w:type="fixed"/>
        <w:tblCellMar>
          <w:left w:w="62" w:type="dxa"/>
          <w:right w:w="62" w:type="dxa"/>
        </w:tblCellMar>
        <w:tblLook w:val="0000"/>
      </w:tblPr>
      <w:tblGrid>
        <w:gridCol w:w="9497"/>
      </w:tblGrid>
      <w:tr w:rsidTr="009258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58EF" w:rsidP="009258EF">
            <w:pPr>
              <w:pStyle w:val="BodyText"/>
            </w:pPr>
            <w:r w:rsidRPr="009258EF">
              <w:t>Assessors must hold credentials specified within the</w:t>
            </w:r>
            <w:r w:rsidRPr="009258EF">
              <w:t xml:space="preserve"> Standards for Registered Training Organisations current at the time of assessment. </w:t>
            </w:r>
          </w:p>
          <w:p w:rsidR="00000000" w:rsidRPr="009258EF" w:rsidP="009258EF">
            <w:pPr>
              <w:pStyle w:val="BodyText"/>
            </w:pPr>
            <w:r w:rsidRPr="009258EF">
              <w:t>Assessment must satisfy the Principles of Assessment and Rules of Evidence and all regulatory requirements included within the Standards for Registered Training Organisati</w:t>
            </w:r>
            <w:r w:rsidRPr="009258EF">
              <w:t>ons current at the time of assessment.</w:t>
            </w:r>
          </w:p>
          <w:p w:rsidR="00000000" w:rsidRPr="009258EF" w:rsidP="009258EF">
            <w:pPr>
              <w:pStyle w:val="BodyText"/>
            </w:pPr>
            <w:r w:rsidRPr="009258EF">
              <w:t>Assessment must occur in workplace operational situations where it is appropriate to do so; where this is not appropriate, assessment must occur in simulated workplace operational situations that replicate rail corrid</w:t>
            </w:r>
            <w:r w:rsidRPr="009258EF">
              <w:t>or workplace conditions.</w:t>
            </w:r>
          </w:p>
          <w:p w:rsidR="00000000" w:rsidRPr="009258EF" w:rsidP="009258EF">
            <w:pPr>
              <w:pStyle w:val="BodyText"/>
            </w:pPr>
            <w:r w:rsidRPr="009258EF">
              <w:t>Assessment processes and techniques must be appropriate to the language, literacy and numeracy requirements of the work being performed and the needs of the candidate.</w:t>
            </w:r>
          </w:p>
          <w:p w:rsidR="00000000" w:rsidRPr="009258EF" w:rsidP="009258EF">
            <w:pPr>
              <w:pStyle w:val="BodyText"/>
            </w:pPr>
            <w:r w:rsidRPr="009258EF">
              <w:t>Resources for assessment must include access to:</w:t>
            </w:r>
          </w:p>
          <w:p w:rsidR="00000000" w:rsidRPr="009258EF" w:rsidP="009258EF">
            <w:pPr>
              <w:pStyle w:val="ListBullet"/>
            </w:pPr>
            <w:r w:rsidRPr="009258EF">
              <w:t>a range of re</w:t>
            </w:r>
            <w:r w:rsidRPr="009258EF">
              <w:t>levant exercises, case studies and/or simulations</w:t>
            </w:r>
          </w:p>
          <w:p w:rsidR="00000000" w:rsidRPr="009258EF" w:rsidP="009258EF">
            <w:pPr>
              <w:pStyle w:val="ListBullet"/>
            </w:pPr>
            <w:r w:rsidRPr="009258EF">
              <w:t>relevant and appropriate materials, tools, equipment and personal protective equipment (PPE) currently used in industry</w:t>
            </w:r>
          </w:p>
          <w:p w:rsidR="00000000" w:rsidRPr="009258EF" w:rsidP="009258EF">
            <w:pPr>
              <w:pStyle w:val="ListBullet"/>
            </w:pPr>
            <w:r w:rsidRPr="009258EF">
              <w:t>applicable documentation including workplace procedures, regulations, rail network sta</w:t>
            </w:r>
            <w:r w:rsidRPr="009258EF">
              <w:t>ndards, codes of practice and operation manuals.</w:t>
            </w:r>
          </w:p>
        </w:tc>
      </w:tr>
    </w:tbl>
    <w:p w:rsidR="00000000" w:rsidRPr="009258EF" w:rsidP="009258EF">
      <w:pPr>
        <w:pStyle w:val="NoPaddingFontSize1"/>
      </w:pPr>
    </w:p>
    <w:p w:rsidR="00000000" w:rsidRPr="009258EF" w:rsidP="009258EF">
      <w:pPr>
        <w:pStyle w:val="AllowPageBreak"/>
      </w:pPr>
    </w:p>
    <w:p w:rsidR="00000000" w:rsidRPr="009258EF" w:rsidP="009258EF">
      <w:pPr>
        <w:pStyle w:val="Heading1"/>
      </w:pPr>
      <w:bookmarkStart w:id="15" w:name="O_1195832"/>
      <w:bookmarkEnd w:id="15"/>
      <w:r w:rsidRPr="009258EF">
        <w:t>Links</w:t>
      </w:r>
    </w:p>
    <w:p w:rsidR="00000000" w:rsidRPr="009258EF" w:rsidP="00D8449F">
      <w:pPr>
        <w:pStyle w:val="BodyText"/>
      </w:pPr>
      <w:r w:rsidRPr="009258E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D4C9F">
        <w:rPr>
          <w:rStyle w:val="Hyperlink"/>
        </w:rPr>
        <w:t>https://vetnet.gov.au/Pages/TrainingDocs.aspx?q=df441c6e-213d-43e3-874c-0b3f7036d851</w:t>
      </w:r>
      <w:r>
        <w:fldChar w:fldCharType="end"/>
      </w:r>
    </w:p>
    <w:p w:rsidR="00000000" w:rsidRPr="009258EF" w:rsidP="009258EF"/>
    <w:sectPr w:rsidSect="009258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EF" w:rsidRPr="00D8449F" w:rsidP="00D844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9F" w:rsidP="00925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49F" w:rsidP="009258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449F" w:rsidP="009258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EF" w:rsidP="009258EF">
    <w:pPr>
      <w:pStyle w:val="Footer"/>
      <w:framePr w:wrap="around"/>
    </w:pPr>
    <w:r>
      <w:fldChar w:fldCharType="begin"/>
    </w:r>
    <w:r>
      <w:instrText xml:space="preserve"> DOCPROPERTY  Subject  \* MERGEFORMAT </w:instrText>
    </w:r>
    <w:r>
      <w:fldChar w:fldCharType="separate"/>
    </w:r>
    <w:r w:rsidR="00D8449F">
      <w:t>Approved</w:t>
    </w:r>
    <w:r w:rsidR="00D8449F">
      <w:fldChar w:fldCharType="end"/>
    </w:r>
    <w:r>
      <w:tab/>
      <w:t xml:space="preserve">Page </w:t>
    </w:r>
    <w:r>
      <w:fldChar w:fldCharType="begin"/>
    </w:r>
    <w:r>
      <w:instrText xml:space="preserve"> PAGE  \* Arabic  \* MERGEFORMAT </w:instrText>
    </w:r>
    <w:r>
      <w:fldChar w:fldCharType="separate"/>
    </w:r>
    <w:r w:rsidR="00D8449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449F">
      <w:rPr>
        <w:noProof/>
      </w:rPr>
      <w:t>4</w:t>
    </w:r>
    <w:r>
      <w:rPr>
        <w:noProof/>
      </w:rPr>
      <w:fldChar w:fldCharType="end"/>
    </w:r>
  </w:p>
  <w:p w:rsidR="009258EF" w:rsidP="009258EF">
    <w:pPr>
      <w:pStyle w:val="Footer"/>
      <w:framePr w:wrap="around"/>
    </w:pPr>
    <w:r>
      <w:t xml:space="preserve">© Commonwealth of Australia, </w:t>
    </w:r>
    <w:r>
      <w:fldChar w:fldCharType="begin"/>
    </w:r>
    <w:r>
      <w:instrText xml:space="preserve"> DATE  \@ "yyyy"  \* MERGEFORMAT </w:instrText>
    </w:r>
    <w:r>
      <w:fldChar w:fldCharType="separate"/>
    </w:r>
    <w:r w:rsidR="00D8449F">
      <w:rPr>
        <w:noProof/>
      </w:rPr>
      <w:t>2025</w:t>
    </w:r>
    <w:r>
      <w:fldChar w:fldCharType="end"/>
    </w:r>
    <w:r>
      <w:tab/>
    </w:r>
    <w:r>
      <w:fldChar w:fldCharType="begin"/>
    </w:r>
    <w:r>
      <w:instrText xml:space="preserve"> DOCPROPERTY  Author  \* MERGEFORMAT </w:instrText>
    </w:r>
    <w:r>
      <w:fldChar w:fldCharType="separate"/>
    </w:r>
    <w:r w:rsidR="00D8449F">
      <w:t>Industry Skills Australia</w:t>
    </w:r>
    <w:r w:rsidR="00D8449F">
      <w:fldChar w:fldCharType="end"/>
    </w:r>
  </w:p>
  <w:p w:rsidR="009258EF" w:rsidP="00925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8EF" w:rsidRPr="00D8449F" w:rsidP="00D844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49F" w:rsidRPr="002D2AF8" w:rsidP="009258EF">
    <w:pPr>
      <w:pStyle w:val="Header"/>
      <w:framePr w:wrap="around"/>
    </w:pPr>
    <w:r>
      <w:fldChar w:fldCharType="begin"/>
    </w:r>
    <w:r>
      <w:instrText xml:space="preserve"> TITLE   \* MERGEFORMAT </w:instrText>
    </w:r>
    <w:r>
      <w:fldChar w:fldCharType="separate"/>
    </w:r>
    <w:r>
      <w:t>TLIB3129 Conduct pre-movement checks on rolling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449F" w:rsidP="009258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EF" w:rsidRPr="002D2AF8" w:rsidP="009258EF">
    <w:pPr>
      <w:pStyle w:val="Header"/>
      <w:framePr w:wrap="around"/>
    </w:pPr>
    <w:r>
      <w:fldChar w:fldCharType="begin"/>
    </w:r>
    <w:r>
      <w:instrText xml:space="preserve"> TITLE   \* MERGEFORMAT </w:instrText>
    </w:r>
    <w:r>
      <w:fldChar w:fldCharType="separate"/>
    </w:r>
    <w:r w:rsidR="00D8449F">
      <w:t>TLIB3129 Conduct pre-movement checks on rolling stock</w:t>
    </w:r>
    <w:r w:rsidR="00D8449F">
      <w:fldChar w:fldCharType="end"/>
    </w:r>
    <w:r>
      <w:tab/>
      <w:t xml:space="preserve">Date this document was generated: </w:t>
    </w:r>
    <w:r>
      <w:fldChar w:fldCharType="begin"/>
    </w:r>
    <w:r>
      <w:instrText xml:space="preserve"> CREATEDATE  \@ "d MMMM yyyy"  \* MERGEFORMAT </w:instrText>
    </w:r>
    <w:r>
      <w:fldChar w:fldCharType="separate"/>
    </w:r>
    <w:r w:rsidR="00D8449F">
      <w:rPr>
        <w:noProof/>
      </w:rPr>
      <w:t>1 March 2025</w:t>
    </w:r>
    <w:r>
      <w:fldChar w:fldCharType="end"/>
    </w:r>
  </w:p>
  <w:p w:rsidR="009258EF" w:rsidP="00925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D62E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6C15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8EF"/>
    <w:pPr>
      <w:spacing w:before="360" w:after="60"/>
      <w:outlineLvl w:val="0"/>
    </w:pPr>
    <w:rPr>
      <w:sz w:val="32"/>
    </w:rPr>
  </w:style>
  <w:style w:type="paragraph" w:styleId="Heading2">
    <w:name w:val="heading 2"/>
    <w:basedOn w:val="HeadingBase"/>
    <w:next w:val="BodyText"/>
    <w:link w:val="Heading2Char"/>
    <w:qFormat/>
    <w:rsid w:val="009258EF"/>
    <w:pPr>
      <w:keepLines/>
      <w:spacing w:before="240" w:after="120"/>
      <w:outlineLvl w:val="1"/>
    </w:pPr>
    <w:rPr>
      <w:sz w:val="28"/>
      <w:szCs w:val="40"/>
    </w:rPr>
  </w:style>
  <w:style w:type="paragraph" w:styleId="Heading3">
    <w:name w:val="heading 3"/>
    <w:basedOn w:val="HeadingBase"/>
    <w:next w:val="BodyText"/>
    <w:link w:val="Heading3Char"/>
    <w:qFormat/>
    <w:rsid w:val="009258EF"/>
    <w:pPr>
      <w:spacing w:before="180" w:after="120"/>
      <w:outlineLvl w:val="2"/>
    </w:pPr>
    <w:rPr>
      <w:spacing w:val="-10"/>
      <w:kern w:val="32"/>
    </w:rPr>
  </w:style>
  <w:style w:type="paragraph" w:styleId="Heading4">
    <w:name w:val="heading 4"/>
    <w:basedOn w:val="HeadingBase"/>
    <w:next w:val="BodyText"/>
    <w:link w:val="Heading4Char"/>
    <w:qFormat/>
    <w:rsid w:val="009258EF"/>
    <w:pPr>
      <w:spacing w:before="160" w:after="120"/>
      <w:outlineLvl w:val="3"/>
    </w:pPr>
    <w:rPr>
      <w:sz w:val="22"/>
    </w:rPr>
  </w:style>
  <w:style w:type="paragraph" w:styleId="Heading5">
    <w:name w:val="heading 5"/>
    <w:basedOn w:val="HeadingBase"/>
    <w:next w:val="Normal"/>
    <w:link w:val="Heading5Char"/>
    <w:qFormat/>
    <w:rsid w:val="009258EF"/>
    <w:pPr>
      <w:spacing w:before="80"/>
      <w:outlineLvl w:val="4"/>
    </w:pPr>
    <w:rPr>
      <w:color w:val="918585"/>
      <w:sz w:val="20"/>
    </w:rPr>
  </w:style>
  <w:style w:type="paragraph" w:styleId="Heading6">
    <w:name w:val="heading 6"/>
    <w:basedOn w:val="HeadingBase"/>
    <w:next w:val="Normal"/>
    <w:link w:val="Heading6Char"/>
    <w:qFormat/>
    <w:rsid w:val="009258EF"/>
    <w:pPr>
      <w:spacing w:before="60"/>
      <w:outlineLvl w:val="5"/>
    </w:pPr>
    <w:rPr>
      <w:color w:val="918585"/>
      <w:sz w:val="20"/>
    </w:rPr>
  </w:style>
  <w:style w:type="paragraph" w:styleId="Heading7">
    <w:name w:val="heading 7"/>
    <w:basedOn w:val="Normal"/>
    <w:next w:val="Normal"/>
    <w:link w:val="Heading7Char"/>
    <w:qFormat/>
    <w:rsid w:val="009258EF"/>
    <w:pPr>
      <w:ind w:left="720"/>
      <w:outlineLvl w:val="6"/>
    </w:pPr>
    <w:rPr>
      <w:i/>
    </w:rPr>
  </w:style>
  <w:style w:type="paragraph" w:styleId="Heading8">
    <w:name w:val="heading 8"/>
    <w:basedOn w:val="Normal"/>
    <w:next w:val="Normal"/>
    <w:link w:val="Heading8Char"/>
    <w:qFormat/>
    <w:rsid w:val="009258EF"/>
    <w:pPr>
      <w:ind w:left="720"/>
      <w:outlineLvl w:val="7"/>
    </w:pPr>
    <w:rPr>
      <w:i/>
    </w:rPr>
  </w:style>
  <w:style w:type="paragraph" w:styleId="Heading9">
    <w:name w:val="heading 9"/>
    <w:basedOn w:val="Normal"/>
    <w:next w:val="Normal"/>
    <w:link w:val="Heading9Char"/>
    <w:qFormat/>
    <w:rsid w:val="009258EF"/>
    <w:pPr>
      <w:ind w:left="720"/>
      <w:outlineLvl w:val="8"/>
    </w:pPr>
    <w:rPr>
      <w:i/>
    </w:rPr>
  </w:style>
  <w:style w:type="character" w:default="1" w:styleId="DefaultParagraphFont">
    <w:name w:val="Default Paragraph Font"/>
    <w:uiPriority w:val="1"/>
    <w:unhideWhenUsed/>
    <w:rsid w:val="00925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8EF"/>
  </w:style>
  <w:style w:type="character" w:customStyle="1" w:styleId="Heading1Char">
    <w:name w:val="Heading 1 Char"/>
    <w:basedOn w:val="DefaultParagraphFont"/>
    <w:link w:val="Heading1"/>
    <w:rsid w:val="009258EF"/>
    <w:rPr>
      <w:rFonts w:ascii="Times New Roman" w:eastAsia="Times New Roman" w:hAnsi="Times New Roman" w:cs="Times New Roman"/>
      <w:b/>
      <w:sz w:val="32"/>
      <w:szCs w:val="20"/>
      <w:lang w:eastAsia="en-US"/>
    </w:rPr>
  </w:style>
  <w:style w:type="paragraph" w:styleId="BodyText">
    <w:name w:val="Body Text"/>
    <w:basedOn w:val="Normal"/>
    <w:link w:val="BodyTextChar"/>
    <w:rsid w:val="009258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8EF"/>
    <w:rPr>
      <w:rFonts w:ascii="Times New Roman" w:eastAsia="Times New Roman" w:hAnsi="Times New Roman" w:cs="Times New Roman"/>
      <w:sz w:val="24"/>
      <w:lang w:eastAsia="en-US"/>
    </w:rPr>
  </w:style>
  <w:style w:type="paragraph" w:styleId="ListBullet">
    <w:name w:val="List Bullet"/>
    <w:basedOn w:val="List"/>
    <w:rsid w:val="009258EF"/>
    <w:pPr>
      <w:numPr>
        <w:numId w:val="11"/>
      </w:numPr>
      <w:tabs>
        <w:tab w:val="clear" w:pos="340"/>
      </w:tabs>
      <w:spacing w:before="40" w:after="40"/>
    </w:pPr>
  </w:style>
  <w:style w:type="character" w:customStyle="1" w:styleId="SpecialBold">
    <w:name w:val="Special Bold"/>
    <w:basedOn w:val="DefaultParagraphFont"/>
    <w:rsid w:val="009258EF"/>
    <w:rPr>
      <w:b/>
      <w:spacing w:val="0"/>
    </w:rPr>
  </w:style>
  <w:style w:type="paragraph" w:customStyle="1" w:styleId="SuperHeading">
    <w:name w:val="SuperHeading"/>
    <w:basedOn w:val="Normal"/>
    <w:rsid w:val="009258EF"/>
    <w:pPr>
      <w:spacing w:before="240" w:after="120"/>
      <w:outlineLvl w:val="0"/>
    </w:pPr>
    <w:rPr>
      <w:rFonts w:ascii="Times New Roman" w:hAnsi="Times New Roman"/>
      <w:b/>
      <w:sz w:val="32"/>
    </w:rPr>
  </w:style>
  <w:style w:type="paragraph" w:customStyle="1" w:styleId="AllowPageBreak">
    <w:name w:val="AllowPageBreak"/>
    <w:rsid w:val="009258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5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8EF"/>
    <w:rPr>
      <w:rFonts w:ascii="Courier New" w:eastAsia="Times New Roman" w:hAnsi="Courier New" w:cs="Times New Roman"/>
      <w:i/>
      <w:szCs w:val="20"/>
      <w:lang w:eastAsia="en-US"/>
    </w:rPr>
  </w:style>
  <w:style w:type="paragraph" w:customStyle="1" w:styleId="HeadingBase">
    <w:name w:val="Heading Base"/>
    <w:rsid w:val="00925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8EF"/>
    <w:pPr>
      <w:tabs>
        <w:tab w:val="right" w:leader="dot" w:pos="9072"/>
      </w:tabs>
      <w:ind w:left="567"/>
    </w:pPr>
    <w:rPr>
      <w:szCs w:val="22"/>
    </w:rPr>
  </w:style>
  <w:style w:type="paragraph" w:customStyle="1" w:styleId="TOCBase">
    <w:name w:val="TOC Base"/>
    <w:rsid w:val="00925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8EF"/>
    <w:pPr>
      <w:tabs>
        <w:tab w:val="right" w:leader="dot" w:pos="9072"/>
      </w:tabs>
      <w:spacing w:before="40" w:after="40"/>
      <w:ind w:left="284"/>
    </w:pPr>
    <w:rPr>
      <w:rFonts w:ascii="Times New Roman" w:hAnsi="Times New Roman"/>
    </w:rPr>
  </w:style>
  <w:style w:type="paragraph" w:styleId="TOC1">
    <w:name w:val="toc 1"/>
    <w:basedOn w:val="TOCBase"/>
    <w:next w:val="Normal"/>
    <w:rsid w:val="00925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8EF"/>
    <w:rPr>
      <w:rFonts w:ascii="Times New Roman" w:eastAsia="Times New Roman" w:hAnsi="Times New Roman" w:cs="Times New Roman"/>
      <w:sz w:val="16"/>
      <w:lang w:eastAsia="en-US"/>
    </w:rPr>
  </w:style>
  <w:style w:type="paragraph" w:styleId="Title">
    <w:name w:val="Title"/>
    <w:basedOn w:val="HeadingBase"/>
    <w:link w:val="TitleChar"/>
    <w:qFormat/>
    <w:rsid w:val="009258EF"/>
    <w:pPr>
      <w:spacing w:before="5040"/>
      <w:jc w:val="center"/>
    </w:pPr>
    <w:rPr>
      <w:sz w:val="48"/>
      <w:szCs w:val="72"/>
      <w:lang w:val="en-US"/>
    </w:rPr>
  </w:style>
  <w:style w:type="character" w:customStyle="1" w:styleId="TitleChar">
    <w:name w:val="Title Char"/>
    <w:basedOn w:val="DefaultParagraphFont"/>
    <w:link w:val="Title"/>
    <w:rsid w:val="00925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8EF"/>
    <w:pPr>
      <w:tabs>
        <w:tab w:val="left" w:pos="3600"/>
        <w:tab w:val="left" w:pos="3958"/>
      </w:tabs>
    </w:pPr>
  </w:style>
  <w:style w:type="paragraph" w:styleId="List">
    <w:name w:val="List"/>
    <w:basedOn w:val="BodyText"/>
    <w:next w:val="BodyText"/>
    <w:rsid w:val="009258EF"/>
    <w:pPr>
      <w:tabs>
        <w:tab w:val="left" w:pos="340"/>
      </w:tabs>
      <w:spacing w:before="60" w:after="60"/>
      <w:ind w:left="340" w:hanging="340"/>
    </w:pPr>
  </w:style>
  <w:style w:type="paragraph" w:customStyle="1" w:styleId="Note">
    <w:name w:val="Note"/>
    <w:basedOn w:val="BodyText"/>
    <w:rsid w:val="00925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8EF"/>
    <w:pPr>
      <w:framePr w:wrap="auto" w:hAnchor="text" w:y="6049"/>
    </w:pPr>
    <w:rPr>
      <w:color w:val="000000"/>
      <w:sz w:val="40"/>
    </w:rPr>
  </w:style>
  <w:style w:type="paragraph" w:customStyle="1" w:styleId="TOCTitle">
    <w:name w:val="TOCTitle"/>
    <w:basedOn w:val="Heading1"/>
    <w:rsid w:val="009258EF"/>
    <w:pPr>
      <w:spacing w:after="240"/>
      <w:jc w:val="center"/>
      <w:outlineLvl w:val="9"/>
    </w:pPr>
    <w:rPr>
      <w:caps/>
    </w:rPr>
  </w:style>
  <w:style w:type="paragraph" w:customStyle="1" w:styleId="Version">
    <w:name w:val="Version"/>
    <w:rsid w:val="009258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58EF"/>
    <w:pPr>
      <w:numPr>
        <w:numId w:val="12"/>
      </w:numPr>
      <w:tabs>
        <w:tab w:val="clear" w:pos="680"/>
      </w:tabs>
    </w:pPr>
  </w:style>
  <w:style w:type="paragraph" w:styleId="Index1">
    <w:name w:val="index 1"/>
    <w:basedOn w:val="Normal"/>
    <w:next w:val="Normal"/>
    <w:semiHidden/>
    <w:rsid w:val="009258EF"/>
    <w:pPr>
      <w:keepNext w:val="0"/>
      <w:tabs>
        <w:tab w:val="right" w:pos="4176"/>
      </w:tabs>
      <w:ind w:left="198" w:hanging="198"/>
    </w:pPr>
    <w:rPr>
      <w:rFonts w:ascii="Garamond" w:hAnsi="Garamond"/>
    </w:rPr>
  </w:style>
  <w:style w:type="paragraph" w:styleId="IndexHeading">
    <w:name w:val="index heading"/>
    <w:basedOn w:val="Normal"/>
    <w:next w:val="Index1"/>
    <w:semiHidden/>
    <w:rsid w:val="009258EF"/>
    <w:pPr>
      <w:spacing w:before="120" w:after="120"/>
    </w:pPr>
    <w:rPr>
      <w:rFonts w:ascii="Arial" w:hAnsi="Arial"/>
      <w:b/>
      <w:color w:val="918585"/>
      <w:sz w:val="24"/>
    </w:rPr>
  </w:style>
  <w:style w:type="paragraph" w:styleId="Header">
    <w:name w:val="header"/>
    <w:basedOn w:val="Normal"/>
    <w:link w:val="HeaderChar"/>
    <w:rsid w:val="00925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8EF"/>
    <w:rPr>
      <w:rFonts w:ascii="Times New Roman" w:eastAsia="Times New Roman" w:hAnsi="Times New Roman" w:cs="Times New Roman"/>
      <w:sz w:val="16"/>
      <w:szCs w:val="20"/>
      <w:lang w:val="en-GB" w:eastAsia="en-US"/>
    </w:rPr>
  </w:style>
  <w:style w:type="paragraph" w:customStyle="1" w:styleId="Chapter">
    <w:name w:val="Chapter"/>
    <w:basedOn w:val="Normal"/>
    <w:rsid w:val="009258EF"/>
    <w:pPr>
      <w:spacing w:before="240"/>
    </w:pPr>
    <w:rPr>
      <w:rFonts w:ascii="Times New Roman" w:hAnsi="Times New Roman"/>
      <w:smallCaps/>
      <w:spacing w:val="80"/>
      <w:sz w:val="28"/>
    </w:rPr>
  </w:style>
  <w:style w:type="paragraph" w:customStyle="1" w:styleId="InChapter">
    <w:name w:val="InChapter"/>
    <w:basedOn w:val="Heading3"/>
    <w:rsid w:val="009258EF"/>
    <w:pPr>
      <w:spacing w:after="240"/>
      <w:outlineLvl w:val="9"/>
    </w:pPr>
    <w:rPr>
      <w:noProof/>
    </w:rPr>
  </w:style>
  <w:style w:type="paragraph" w:styleId="Index2">
    <w:name w:val="index 2"/>
    <w:basedOn w:val="Normal"/>
    <w:next w:val="Normal"/>
    <w:semiHidden/>
    <w:rsid w:val="009258EF"/>
    <w:pPr>
      <w:tabs>
        <w:tab w:val="right" w:pos="4176"/>
      </w:tabs>
      <w:ind w:left="568" w:hanging="284"/>
    </w:pPr>
    <w:rPr>
      <w:rFonts w:ascii="Garamond" w:hAnsi="Garamond"/>
    </w:rPr>
  </w:style>
  <w:style w:type="paragraph" w:customStyle="1" w:styleId="Byline">
    <w:name w:val="Byline"/>
    <w:rsid w:val="00925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8EF"/>
    <w:pPr>
      <w:tabs>
        <w:tab w:val="clear" w:pos="3600"/>
        <w:tab w:val="clear" w:pos="3958"/>
      </w:tabs>
      <w:jc w:val="right"/>
    </w:pPr>
  </w:style>
  <w:style w:type="character" w:styleId="Emphasis">
    <w:name w:val="Emphasis"/>
    <w:basedOn w:val="DefaultParagraphFont"/>
    <w:qFormat/>
    <w:rsid w:val="009258EF"/>
    <w:rPr>
      <w:i/>
    </w:rPr>
  </w:style>
  <w:style w:type="paragraph" w:styleId="Caption">
    <w:name w:val="caption"/>
    <w:basedOn w:val="BodyText"/>
    <w:next w:val="Normal"/>
    <w:qFormat/>
    <w:rsid w:val="009258EF"/>
    <w:pPr>
      <w:framePr w:w="2268" w:hSpace="181" w:vSpace="181" w:wrap="around" w:vAnchor="text" w:hAnchor="page" w:x="1135" w:y="285" w:anchorLock="1"/>
    </w:pPr>
    <w:rPr>
      <w:i/>
    </w:rPr>
  </w:style>
  <w:style w:type="paragraph" w:customStyle="1" w:styleId="MiniTOCTitle">
    <w:name w:val="MiniTOCTitle"/>
    <w:basedOn w:val="Heading4"/>
    <w:rsid w:val="009258EF"/>
    <w:pPr>
      <w:spacing w:before="240"/>
      <w:outlineLvl w:val="9"/>
    </w:pPr>
    <w:rPr>
      <w:noProof/>
      <w:sz w:val="24"/>
    </w:rPr>
  </w:style>
  <w:style w:type="paragraph" w:customStyle="1" w:styleId="MiniTOCItem">
    <w:name w:val="MiniTOCItem"/>
    <w:basedOn w:val="ListBullet"/>
    <w:rsid w:val="009258EF"/>
    <w:pPr>
      <w:numPr>
        <w:numId w:val="0"/>
      </w:numPr>
      <w:tabs>
        <w:tab w:val="right" w:leader="dot" w:pos="6521"/>
      </w:tabs>
      <w:spacing w:before="0" w:after="0"/>
    </w:pPr>
  </w:style>
  <w:style w:type="paragraph" w:customStyle="1" w:styleId="TOFTitle">
    <w:name w:val="TOFTitle"/>
    <w:basedOn w:val="TOCTitle"/>
    <w:rsid w:val="009258EF"/>
  </w:style>
  <w:style w:type="paragraph" w:styleId="TableofFigures">
    <w:name w:val="table of figures"/>
    <w:basedOn w:val="Normal"/>
    <w:next w:val="Normal"/>
    <w:semiHidden/>
    <w:rsid w:val="009258EF"/>
    <w:pPr>
      <w:tabs>
        <w:tab w:val="right" w:leader="dot" w:pos="9072"/>
      </w:tabs>
      <w:ind w:left="970" w:hanging="403"/>
    </w:pPr>
    <w:rPr>
      <w:rFonts w:ascii="Times New Roman" w:hAnsi="Times New Roman"/>
      <w:b/>
    </w:rPr>
  </w:style>
  <w:style w:type="paragraph" w:styleId="ListNumber">
    <w:name w:val="List Number"/>
    <w:basedOn w:val="List"/>
    <w:rsid w:val="009258EF"/>
    <w:pPr>
      <w:numPr>
        <w:numId w:val="14"/>
      </w:numPr>
      <w:tabs>
        <w:tab w:val="clear" w:pos="340"/>
      </w:tabs>
    </w:pPr>
  </w:style>
  <w:style w:type="character" w:customStyle="1" w:styleId="WingdingSymbols">
    <w:name w:val="Wingding Symbols"/>
    <w:rsid w:val="009258EF"/>
    <w:rPr>
      <w:rFonts w:ascii="Wingdings" w:hAnsi="Wingdings"/>
    </w:rPr>
  </w:style>
  <w:style w:type="paragraph" w:customStyle="1" w:styleId="TableHeading">
    <w:name w:val="Table Heading"/>
    <w:basedOn w:val="HeadingBase"/>
    <w:rsid w:val="009258EF"/>
    <w:pPr>
      <w:keepLines/>
      <w:pBdr>
        <w:bottom w:val="single" w:sz="6" w:space="1" w:color="918585"/>
      </w:pBdr>
      <w:spacing w:before="240"/>
    </w:pPr>
  </w:style>
  <w:style w:type="character" w:customStyle="1" w:styleId="HotSpot">
    <w:name w:val="HotSpot"/>
    <w:rsid w:val="009258EF"/>
    <w:rPr>
      <w:color w:val="0033CC"/>
      <w:u w:val="none"/>
    </w:rPr>
  </w:style>
  <w:style w:type="paragraph" w:customStyle="1" w:styleId="BodyTextRight">
    <w:name w:val="Body Text Right"/>
    <w:basedOn w:val="BodyText"/>
    <w:rsid w:val="009258EF"/>
    <w:pPr>
      <w:spacing w:before="0" w:after="0"/>
      <w:jc w:val="right"/>
    </w:pPr>
  </w:style>
  <w:style w:type="paragraph" w:styleId="Index3">
    <w:name w:val="index 3"/>
    <w:basedOn w:val="ListNumber2"/>
    <w:next w:val="Normal"/>
    <w:semiHidden/>
    <w:rsid w:val="009258EF"/>
    <w:pPr>
      <w:numPr>
        <w:numId w:val="0"/>
      </w:numPr>
      <w:tabs>
        <w:tab w:val="right" w:leader="dot" w:pos="4176"/>
      </w:tabs>
    </w:pPr>
  </w:style>
  <w:style w:type="paragraph" w:styleId="ListNumber2">
    <w:name w:val="List Number 2"/>
    <w:basedOn w:val="List2"/>
    <w:rsid w:val="009258EF"/>
    <w:pPr>
      <w:numPr>
        <w:numId w:val="9"/>
      </w:numPr>
      <w:tabs>
        <w:tab w:val="clear" w:pos="1060"/>
      </w:tabs>
    </w:pPr>
  </w:style>
  <w:style w:type="paragraph" w:customStyle="1" w:styleId="MarginNote">
    <w:name w:val="Margin Note"/>
    <w:basedOn w:val="BodyText"/>
    <w:rsid w:val="00925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8EF"/>
    <w:rPr>
      <w:sz w:val="32"/>
    </w:rPr>
  </w:style>
  <w:style w:type="paragraph" w:customStyle="1" w:styleId="HeadingProcedure">
    <w:name w:val="Heading Procedure"/>
    <w:basedOn w:val="HeadingBase"/>
    <w:next w:val="Normal"/>
    <w:rsid w:val="009258EF"/>
    <w:pPr>
      <w:tabs>
        <w:tab w:val="left" w:pos="0"/>
      </w:tabs>
      <w:spacing w:before="120" w:after="60"/>
    </w:pPr>
    <w:rPr>
      <w:i/>
      <w:color w:val="918585"/>
      <w:sz w:val="22"/>
    </w:rPr>
  </w:style>
  <w:style w:type="paragraph" w:customStyle="1" w:styleId="TableBodyText">
    <w:name w:val="Table Body Text"/>
    <w:basedOn w:val="BodyText"/>
    <w:rsid w:val="009258EF"/>
    <w:pPr>
      <w:spacing w:before="60" w:after="60"/>
    </w:pPr>
  </w:style>
  <w:style w:type="paragraph" w:styleId="ListContinue">
    <w:name w:val="List Continue"/>
    <w:basedOn w:val="List"/>
    <w:rsid w:val="009258EF"/>
    <w:pPr>
      <w:ind w:firstLine="0"/>
    </w:pPr>
  </w:style>
  <w:style w:type="paragraph" w:customStyle="1" w:styleId="ListNote">
    <w:name w:val="List Note"/>
    <w:basedOn w:val="List"/>
    <w:rsid w:val="009258EF"/>
    <w:pPr>
      <w:pBdr>
        <w:top w:val="single" w:sz="6" w:space="2" w:color="918585"/>
        <w:bottom w:val="single" w:sz="6" w:space="2" w:color="918585"/>
      </w:pBdr>
      <w:tabs>
        <w:tab w:val="left" w:pos="1021"/>
      </w:tabs>
      <w:ind w:firstLine="0"/>
    </w:pPr>
  </w:style>
  <w:style w:type="paragraph" w:customStyle="1" w:styleId="Warning">
    <w:name w:val="Warning"/>
    <w:basedOn w:val="BodyText"/>
    <w:rsid w:val="009258EF"/>
    <w:pPr>
      <w:shd w:val="clear" w:color="auto" w:fill="D9D9D9"/>
      <w:tabs>
        <w:tab w:val="left" w:pos="992"/>
      </w:tabs>
      <w:ind w:left="119" w:right="119"/>
    </w:pPr>
    <w:rPr>
      <w:sz w:val="20"/>
    </w:rPr>
  </w:style>
  <w:style w:type="paragraph" w:customStyle="1" w:styleId="MarginIcons">
    <w:name w:val="Margin Icons"/>
    <w:basedOn w:val="BodyText"/>
    <w:rsid w:val="00925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8EF"/>
    <w:rPr>
      <w:rFonts w:ascii="Courier New" w:hAnsi="Courier New"/>
    </w:rPr>
  </w:style>
  <w:style w:type="paragraph" w:customStyle="1" w:styleId="NoteBullet">
    <w:name w:val="Note Bullet"/>
    <w:basedOn w:val="Note"/>
    <w:rsid w:val="009258EF"/>
    <w:pPr>
      <w:tabs>
        <w:tab w:val="clear" w:pos="680"/>
      </w:tabs>
      <w:spacing w:before="60" w:after="60"/>
    </w:pPr>
  </w:style>
  <w:style w:type="paragraph" w:customStyle="1" w:styleId="SubHeading2">
    <w:name w:val="SubHeading2"/>
    <w:basedOn w:val="HeadingBase"/>
    <w:rsid w:val="009258EF"/>
    <w:pPr>
      <w:spacing w:before="240" w:after="60"/>
    </w:pPr>
    <w:rPr>
      <w:sz w:val="20"/>
    </w:rPr>
  </w:style>
  <w:style w:type="paragraph" w:customStyle="1" w:styleId="SubHeading1">
    <w:name w:val="SubHeading1"/>
    <w:basedOn w:val="HeadingBase"/>
    <w:rsid w:val="009258EF"/>
    <w:pPr>
      <w:spacing w:before="240" w:after="60"/>
    </w:pPr>
    <w:rPr>
      <w:color w:val="918585"/>
      <w:sz w:val="22"/>
    </w:rPr>
  </w:style>
  <w:style w:type="paragraph" w:customStyle="1" w:styleId="SideHeading">
    <w:name w:val="Side Heading"/>
    <w:basedOn w:val="HeadingBase"/>
    <w:rsid w:val="00925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8EF"/>
    <w:pPr>
      <w:numPr>
        <w:numId w:val="10"/>
      </w:numPr>
    </w:pPr>
  </w:style>
  <w:style w:type="paragraph" w:styleId="PlainText">
    <w:name w:val="Plain Text"/>
    <w:basedOn w:val="Normal"/>
    <w:link w:val="PlainTextChar"/>
    <w:rsid w:val="009258EF"/>
    <w:rPr>
      <w:sz w:val="20"/>
    </w:rPr>
  </w:style>
  <w:style w:type="character" w:customStyle="1" w:styleId="PlainTextChar">
    <w:name w:val="Plain Text Char"/>
    <w:basedOn w:val="DefaultParagraphFont"/>
    <w:link w:val="PlainText"/>
    <w:rsid w:val="009258EF"/>
    <w:rPr>
      <w:rFonts w:ascii="Courier New" w:eastAsia="Times New Roman" w:hAnsi="Courier New" w:cs="Times New Roman"/>
      <w:sz w:val="20"/>
      <w:szCs w:val="20"/>
      <w:lang w:eastAsia="en-US"/>
    </w:rPr>
  </w:style>
  <w:style w:type="character" w:customStyle="1" w:styleId="MenuOption">
    <w:name w:val="Menu Option"/>
    <w:basedOn w:val="DefaultParagraphFont"/>
    <w:rsid w:val="009258EF"/>
    <w:rPr>
      <w:b/>
      <w:smallCaps/>
    </w:rPr>
  </w:style>
  <w:style w:type="paragraph" w:customStyle="1" w:styleId="TableListNumber">
    <w:name w:val="Table List Number"/>
    <w:basedOn w:val="ListNumber"/>
    <w:rsid w:val="009258EF"/>
    <w:pPr>
      <w:numPr>
        <w:numId w:val="0"/>
      </w:numPr>
    </w:pPr>
  </w:style>
  <w:style w:type="paragraph" w:styleId="TOC4">
    <w:name w:val="toc 4"/>
    <w:basedOn w:val="TOCBase"/>
    <w:next w:val="Normal"/>
    <w:semiHidden/>
    <w:rsid w:val="009258EF"/>
    <w:pPr>
      <w:tabs>
        <w:tab w:val="right" w:leader="dot" w:pos="9071"/>
      </w:tabs>
      <w:ind w:left="1701"/>
    </w:pPr>
  </w:style>
  <w:style w:type="paragraph" w:customStyle="1" w:styleId="ListAlpha">
    <w:name w:val="List Alpha"/>
    <w:basedOn w:val="List"/>
    <w:rsid w:val="009258EF"/>
    <w:pPr>
      <w:numPr>
        <w:numId w:val="8"/>
      </w:numPr>
    </w:pPr>
  </w:style>
  <w:style w:type="paragraph" w:customStyle="1" w:styleId="ListAlpha2">
    <w:name w:val="List Alpha 2"/>
    <w:basedOn w:val="List2"/>
    <w:rsid w:val="009258EF"/>
    <w:pPr>
      <w:numPr>
        <w:numId w:val="7"/>
      </w:numPr>
    </w:pPr>
  </w:style>
  <w:style w:type="paragraph" w:styleId="List2">
    <w:name w:val="List 2"/>
    <w:basedOn w:val="BodyText"/>
    <w:rsid w:val="009258EF"/>
    <w:pPr>
      <w:tabs>
        <w:tab w:val="left" w:pos="680"/>
      </w:tabs>
      <w:spacing w:before="60" w:after="60"/>
      <w:ind w:left="680" w:hanging="340"/>
    </w:pPr>
  </w:style>
  <w:style w:type="paragraph" w:styleId="List3">
    <w:name w:val="List 3"/>
    <w:basedOn w:val="BodyText"/>
    <w:rsid w:val="009258EF"/>
    <w:pPr>
      <w:tabs>
        <w:tab w:val="left" w:pos="1021"/>
      </w:tabs>
      <w:spacing w:before="60" w:after="60"/>
      <w:ind w:left="1020" w:hanging="340"/>
    </w:pPr>
  </w:style>
  <w:style w:type="paragraph" w:styleId="List4">
    <w:name w:val="List 4"/>
    <w:basedOn w:val="BodyText"/>
    <w:rsid w:val="009258EF"/>
    <w:pPr>
      <w:tabs>
        <w:tab w:val="left" w:pos="1361"/>
      </w:tabs>
      <w:spacing w:before="60" w:after="60"/>
      <w:ind w:left="1361" w:hanging="340"/>
    </w:pPr>
  </w:style>
  <w:style w:type="paragraph" w:styleId="List5">
    <w:name w:val="List 5"/>
    <w:basedOn w:val="BodyText"/>
    <w:rsid w:val="009258EF"/>
    <w:pPr>
      <w:tabs>
        <w:tab w:val="left" w:pos="1701"/>
      </w:tabs>
      <w:spacing w:before="60" w:after="60"/>
      <w:ind w:left="1701" w:hanging="340"/>
    </w:pPr>
  </w:style>
  <w:style w:type="paragraph" w:styleId="ListBullet3">
    <w:name w:val="List Bullet 3"/>
    <w:basedOn w:val="List3"/>
    <w:rsid w:val="009258EF"/>
    <w:pPr>
      <w:numPr>
        <w:numId w:val="13"/>
      </w:numPr>
      <w:tabs>
        <w:tab w:val="clear" w:pos="1021"/>
      </w:tabs>
      <w:ind w:left="1037" w:hanging="357"/>
    </w:pPr>
  </w:style>
  <w:style w:type="paragraph" w:styleId="ListBullet4">
    <w:name w:val="List Bullet 4"/>
    <w:basedOn w:val="List4"/>
    <w:rsid w:val="009258EF"/>
    <w:pPr>
      <w:numPr>
        <w:numId w:val="2"/>
      </w:numPr>
      <w:tabs>
        <w:tab w:val="clear" w:pos="1361"/>
      </w:tabs>
    </w:pPr>
  </w:style>
  <w:style w:type="paragraph" w:styleId="ListBullet5">
    <w:name w:val="List Bullet 5"/>
    <w:basedOn w:val="List5"/>
    <w:rsid w:val="009258EF"/>
    <w:pPr>
      <w:numPr>
        <w:numId w:val="3"/>
      </w:numPr>
    </w:pPr>
  </w:style>
  <w:style w:type="paragraph" w:styleId="ListContinue2">
    <w:name w:val="List Continue 2"/>
    <w:basedOn w:val="List2"/>
    <w:rsid w:val="009258EF"/>
    <w:pPr>
      <w:ind w:firstLine="0"/>
    </w:pPr>
  </w:style>
  <w:style w:type="paragraph" w:styleId="ListContinue3">
    <w:name w:val="List Continue 3"/>
    <w:basedOn w:val="List3"/>
    <w:rsid w:val="009258EF"/>
    <w:pPr>
      <w:ind w:left="1021" w:firstLine="0"/>
    </w:pPr>
  </w:style>
  <w:style w:type="paragraph" w:styleId="ListContinue4">
    <w:name w:val="List Continue 4"/>
    <w:basedOn w:val="List4"/>
    <w:rsid w:val="009258EF"/>
    <w:pPr>
      <w:ind w:firstLine="0"/>
    </w:pPr>
  </w:style>
  <w:style w:type="paragraph" w:styleId="ListContinue5">
    <w:name w:val="List Continue 5"/>
    <w:basedOn w:val="List5"/>
    <w:rsid w:val="009258EF"/>
    <w:pPr>
      <w:ind w:firstLine="0"/>
    </w:pPr>
  </w:style>
  <w:style w:type="paragraph" w:styleId="ListNumber3">
    <w:name w:val="List Number 3"/>
    <w:basedOn w:val="List3"/>
    <w:rsid w:val="009258EF"/>
    <w:pPr>
      <w:numPr>
        <w:numId w:val="4"/>
      </w:numPr>
    </w:pPr>
  </w:style>
  <w:style w:type="paragraph" w:styleId="ListNumber4">
    <w:name w:val="List Number 4"/>
    <w:basedOn w:val="List4"/>
    <w:rsid w:val="009258EF"/>
    <w:pPr>
      <w:numPr>
        <w:numId w:val="5"/>
      </w:numPr>
    </w:pPr>
  </w:style>
  <w:style w:type="paragraph" w:styleId="ListNumber5">
    <w:name w:val="List Number 5"/>
    <w:basedOn w:val="List5"/>
    <w:rsid w:val="009258EF"/>
    <w:pPr>
      <w:numPr>
        <w:numId w:val="6"/>
      </w:numPr>
    </w:pPr>
  </w:style>
  <w:style w:type="paragraph" w:styleId="BlockText">
    <w:name w:val="Block Text"/>
    <w:basedOn w:val="Normal"/>
    <w:rsid w:val="009258EF"/>
    <w:pPr>
      <w:spacing w:after="120"/>
      <w:ind w:left="1440" w:right="1440"/>
    </w:pPr>
  </w:style>
  <w:style w:type="character" w:customStyle="1" w:styleId="Subscript">
    <w:name w:val="Subscript"/>
    <w:basedOn w:val="DefaultParagraphFont"/>
    <w:rsid w:val="009258EF"/>
    <w:rPr>
      <w:sz w:val="16"/>
      <w:vertAlign w:val="subscript"/>
    </w:rPr>
  </w:style>
  <w:style w:type="character" w:customStyle="1" w:styleId="Superscript">
    <w:name w:val="Superscript"/>
    <w:basedOn w:val="DefaultParagraphFont"/>
    <w:rsid w:val="009258EF"/>
    <w:rPr>
      <w:sz w:val="16"/>
      <w:vertAlign w:val="superscript"/>
    </w:rPr>
  </w:style>
  <w:style w:type="character" w:customStyle="1" w:styleId="Symbols">
    <w:name w:val="Symbols"/>
    <w:basedOn w:val="DefaultParagraphFont"/>
    <w:rsid w:val="009258EF"/>
    <w:rPr>
      <w:rFonts w:ascii="Symbol" w:hAnsi="Symbol"/>
    </w:rPr>
  </w:style>
  <w:style w:type="character" w:customStyle="1" w:styleId="MenuOptions">
    <w:name w:val="Menu Options"/>
    <w:basedOn w:val="DefaultParagraphFont"/>
    <w:rsid w:val="009258EF"/>
    <w:rPr>
      <w:rFonts w:ascii="Arial Narrow" w:hAnsi="Arial Narrow"/>
      <w:smallCaps/>
    </w:rPr>
  </w:style>
  <w:style w:type="character" w:customStyle="1" w:styleId="Buttons">
    <w:name w:val="Buttons"/>
    <w:basedOn w:val="DefaultParagraphFont"/>
    <w:rsid w:val="009258EF"/>
    <w:rPr>
      <w:b/>
    </w:rPr>
  </w:style>
  <w:style w:type="character" w:customStyle="1" w:styleId="Underlined">
    <w:name w:val="Underlined"/>
    <w:basedOn w:val="DefaultParagraphFont"/>
    <w:rsid w:val="009258EF"/>
    <w:rPr>
      <w:u w:val="single"/>
    </w:rPr>
  </w:style>
  <w:style w:type="paragraph" w:customStyle="1" w:styleId="TableBodyTextRight">
    <w:name w:val="Table Body Text Right"/>
    <w:basedOn w:val="TableBodyText"/>
    <w:rsid w:val="009258EF"/>
    <w:pPr>
      <w:widowControl w:val="0"/>
      <w:autoSpaceDE w:val="0"/>
      <w:autoSpaceDN w:val="0"/>
      <w:adjustRightInd w:val="0"/>
      <w:jc w:val="right"/>
    </w:pPr>
    <w:rPr>
      <w:rFonts w:cs="Arial"/>
      <w:szCs w:val="18"/>
    </w:rPr>
  </w:style>
  <w:style w:type="paragraph" w:customStyle="1" w:styleId="CopyrightText">
    <w:name w:val="Copyright Text"/>
    <w:basedOn w:val="BodyText"/>
    <w:rsid w:val="009258EF"/>
    <w:rPr>
      <w:sz w:val="18"/>
    </w:rPr>
  </w:style>
  <w:style w:type="paragraph" w:customStyle="1" w:styleId="BodySmallRight">
    <w:name w:val="Body Small Right"/>
    <w:basedOn w:val="BodyTextRight"/>
    <w:rsid w:val="009258EF"/>
    <w:rPr>
      <w:sz w:val="18"/>
      <w:szCs w:val="18"/>
    </w:rPr>
  </w:style>
  <w:style w:type="paragraph" w:customStyle="1" w:styleId="MarginEdition">
    <w:name w:val="Margin Edition"/>
    <w:basedOn w:val="MarginNote"/>
    <w:rsid w:val="009258EF"/>
    <w:pPr>
      <w:spacing w:before="0" w:after="0"/>
    </w:pPr>
    <w:rPr>
      <w:rFonts w:ascii="Times New Roman" w:hAnsi="Times New Roman"/>
      <w:color w:val="999999"/>
    </w:rPr>
  </w:style>
  <w:style w:type="paragraph" w:customStyle="1" w:styleId="Spacer">
    <w:name w:val="Spacer"/>
    <w:basedOn w:val="Normal"/>
    <w:rsid w:val="009258EF"/>
    <w:rPr>
      <w:sz w:val="2"/>
      <w:szCs w:val="2"/>
    </w:rPr>
  </w:style>
  <w:style w:type="character" w:customStyle="1" w:styleId="Small">
    <w:name w:val="Small"/>
    <w:basedOn w:val="DefaultParagraphFont"/>
    <w:rsid w:val="009258EF"/>
    <w:rPr>
      <w:sz w:val="16"/>
    </w:rPr>
  </w:style>
  <w:style w:type="paragraph" w:customStyle="1" w:styleId="WideTable">
    <w:name w:val="Wide Table"/>
    <w:basedOn w:val="Normal"/>
    <w:rsid w:val="009258EF"/>
    <w:pPr>
      <w:ind w:left="-1418"/>
    </w:pPr>
    <w:rPr>
      <w:sz w:val="2"/>
      <w:szCs w:val="2"/>
    </w:rPr>
  </w:style>
  <w:style w:type="character" w:styleId="PageNumber">
    <w:name w:val="page number"/>
    <w:basedOn w:val="DefaultParagraphFont"/>
    <w:rsid w:val="009258EF"/>
  </w:style>
  <w:style w:type="paragraph" w:styleId="Quote">
    <w:name w:val="Quote"/>
    <w:basedOn w:val="Heading1"/>
    <w:link w:val="QuoteChar"/>
    <w:qFormat/>
    <w:rsid w:val="009258EF"/>
    <w:rPr>
      <w:b w:val="0"/>
      <w:sz w:val="72"/>
      <w:szCs w:val="72"/>
      <w:lang w:val="en-NZ"/>
    </w:rPr>
  </w:style>
  <w:style w:type="character" w:customStyle="1" w:styleId="QuoteChar">
    <w:name w:val="Quote Char"/>
    <w:basedOn w:val="DefaultParagraphFont"/>
    <w:link w:val="Quote"/>
    <w:rsid w:val="00925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8EF"/>
    <w:pPr>
      <w:pageBreakBefore/>
    </w:pPr>
  </w:style>
  <w:style w:type="paragraph" w:customStyle="1" w:styleId="Border">
    <w:name w:val="Border"/>
    <w:basedOn w:val="Normal"/>
    <w:qFormat/>
    <w:rsid w:val="00925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8EF"/>
    <w:rPr>
      <w:b/>
      <w:bCs/>
      <w:i/>
      <w:iCs/>
      <w:color w:val="auto"/>
    </w:rPr>
  </w:style>
  <w:style w:type="paragraph" w:styleId="IntenseQuote">
    <w:name w:val="Intense Quote"/>
    <w:basedOn w:val="Normal"/>
    <w:next w:val="Normal"/>
    <w:link w:val="IntenseQuoteChar"/>
    <w:uiPriority w:val="30"/>
    <w:qFormat/>
    <w:rsid w:val="00925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8EF"/>
    <w:rPr>
      <w:smallCaps/>
      <w:color w:val="auto"/>
      <w:u w:val="single"/>
    </w:rPr>
  </w:style>
  <w:style w:type="character" w:styleId="IntenseReference">
    <w:name w:val="Intense Reference"/>
    <w:basedOn w:val="DefaultParagraphFont"/>
    <w:uiPriority w:val="32"/>
    <w:qFormat/>
    <w:rsid w:val="009258EF"/>
    <w:rPr>
      <w:b/>
      <w:bCs/>
      <w:smallCaps/>
      <w:color w:val="auto"/>
      <w:spacing w:val="5"/>
      <w:u w:val="single"/>
    </w:rPr>
  </w:style>
  <w:style w:type="paragraph" w:customStyle="1" w:styleId="2ColumnHeading">
    <w:name w:val="2Column Heading"/>
    <w:basedOn w:val="BodyText"/>
    <w:qFormat/>
    <w:rsid w:val="009258EF"/>
    <w:pPr>
      <w:spacing w:after="60"/>
      <w:ind w:left="-2268"/>
    </w:pPr>
    <w:rPr>
      <w:b/>
    </w:rPr>
  </w:style>
  <w:style w:type="paragraph" w:customStyle="1" w:styleId="Heading1TOC">
    <w:name w:val="Heading1 TOC"/>
    <w:basedOn w:val="Normal"/>
    <w:qFormat/>
    <w:rsid w:val="009258EF"/>
    <w:pPr>
      <w:spacing w:before="240" w:after="120"/>
    </w:pPr>
    <w:rPr>
      <w:rFonts w:ascii="Times New Roman" w:hAnsi="Times New Roman"/>
      <w:b/>
      <w:sz w:val="32"/>
    </w:rPr>
  </w:style>
  <w:style w:type="paragraph" w:customStyle="1" w:styleId="Heading2TOC">
    <w:name w:val="Heading2 TOC"/>
    <w:basedOn w:val="Normal"/>
    <w:qFormat/>
    <w:rsid w:val="009258EF"/>
    <w:pPr>
      <w:spacing w:before="240" w:after="60"/>
    </w:pPr>
    <w:rPr>
      <w:rFonts w:ascii="Times New Roman" w:hAnsi="Times New Roman"/>
      <w:b/>
      <w:sz w:val="28"/>
    </w:rPr>
  </w:style>
  <w:style w:type="character" w:customStyle="1" w:styleId="Underline">
    <w:name w:val="Underline"/>
    <w:basedOn w:val="DefaultParagraphFont"/>
    <w:qFormat/>
    <w:rsid w:val="009258EF"/>
    <w:rPr>
      <w:u w:val="single"/>
    </w:rPr>
  </w:style>
  <w:style w:type="character" w:customStyle="1" w:styleId="BoldandItalics">
    <w:name w:val="Bold and Italics"/>
    <w:qFormat/>
    <w:rsid w:val="009258EF"/>
    <w:rPr>
      <w:b/>
      <w:i/>
      <w:u w:val="none"/>
    </w:rPr>
  </w:style>
  <w:style w:type="paragraph" w:styleId="BalloonText">
    <w:name w:val="Balloon Text"/>
    <w:basedOn w:val="Normal"/>
    <w:link w:val="BalloonTextChar"/>
    <w:rsid w:val="009258EF"/>
    <w:rPr>
      <w:rFonts w:ascii="Tahoma" w:hAnsi="Tahoma" w:cs="Tahoma"/>
      <w:sz w:val="16"/>
      <w:szCs w:val="16"/>
    </w:rPr>
  </w:style>
  <w:style w:type="character" w:customStyle="1" w:styleId="BalloonTextChar">
    <w:name w:val="Balloon Text Char"/>
    <w:basedOn w:val="DefaultParagraphFont"/>
    <w:link w:val="BalloonText"/>
    <w:rsid w:val="00925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8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8EF"/>
    <w:rPr>
      <w:b/>
      <w:color w:val="660033"/>
      <w:spacing w:val="0"/>
    </w:rPr>
  </w:style>
  <w:style w:type="paragraph" w:customStyle="1" w:styleId="Nameditemlist">
    <w:name w:val="Named item list"/>
    <w:basedOn w:val="BodyText"/>
    <w:qFormat/>
    <w:rsid w:val="009258EF"/>
    <w:pPr>
      <w:tabs>
        <w:tab w:val="left" w:pos="2835"/>
      </w:tabs>
      <w:ind w:left="2835" w:hanging="2835"/>
    </w:pPr>
  </w:style>
  <w:style w:type="paragraph" w:customStyle="1" w:styleId="BodyTextnopadding">
    <w:name w:val="Body Text no padding"/>
    <w:basedOn w:val="BodyText"/>
    <w:qFormat/>
    <w:rsid w:val="009258EF"/>
    <w:pPr>
      <w:spacing w:before="0" w:after="0"/>
    </w:pPr>
  </w:style>
  <w:style w:type="paragraph" w:customStyle="1" w:styleId="BodyTextBold">
    <w:name w:val="Body Text Bold"/>
    <w:basedOn w:val="BodyText"/>
    <w:qFormat/>
    <w:rsid w:val="009258EF"/>
    <w:rPr>
      <w:b/>
    </w:rPr>
  </w:style>
  <w:style w:type="character" w:styleId="Hyperlink">
    <w:name w:val="Hyperlink"/>
    <w:basedOn w:val="DefaultParagraphFont"/>
    <w:uiPriority w:val="99"/>
    <w:unhideWhenUsed/>
    <w:rsid w:val="00D844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998</Words>
  <Characters>6430</Characters>
  <Application>Microsoft Office Word</Application>
  <DocSecurity>0</DocSecurity>
  <Lines>229</Lines>
  <Paragraphs>128</Paragraphs>
  <ScaleCrop>false</ScaleCrop>
  <Company>Author-it Software Corporation Ltd.</Company>
  <LinksUpToDate>false</LinksUpToDate>
  <CharactersWithSpaces>7300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TLIB3129 Conduct pre-movement checks on rolling stock</dc:title>
  <dc:subject>Approved</dc:subject>
  <dc:creator>Industry Skills Australia</dc:creator>
  <cp:keywords>Release: 2</cp:keywords>
  <dc:description>Review Date: 12 April 2008</dc:description>
  <cp:lastModifiedBy>HSD_TPCMSd.prod</cp:lastModifiedBy>
  <cp:revision>3</cp:revision>
  <dcterms:created xsi:type="dcterms:W3CDTF">2025-03-01T09:47:00Z</dcterms:created>
  <dcterms:modified xsi:type="dcterms:W3CDTF">2025-03-01T09:47:00Z</dcterms:modified>
</cp:coreProperties>
</file>