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6CA" w:rsidP="009D36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TLIB3123 Apply awareness of motive power unit fundamentals</w:t>
      </w:r>
      <w:r>
        <w:fldChar w:fldCharType="end"/>
      </w:r>
    </w:p>
    <w:p w:rsidR="009D36CA" w:rsidP="009D36CA">
      <w:pPr>
        <w:pStyle w:val="Version"/>
        <w:sectPr w:rsidSect="00F82A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2ADC" w:rsidP="00F82ADC">
      <w:pPr>
        <w:pStyle w:val="SuperHeading"/>
      </w:pPr>
      <w:r w:rsidRPr="00F82ADC">
        <w:t>TLIB3123 Apply awareness of motive power unit fundamentals</w:t>
      </w:r>
    </w:p>
    <w:p w:rsidR="00000000" w:rsidRPr="00F82ADC" w:rsidP="00F82ADC">
      <w:pPr>
        <w:pStyle w:val="Heading1"/>
      </w:pPr>
      <w:bookmarkStart w:id="1" w:name="O_1195754"/>
      <w:bookmarkEnd w:id="1"/>
      <w:r w:rsidRPr="00F82A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Release 2</w:t>
            </w:r>
            <w:r w:rsidRPr="00F82ADC">
              <w:t>. This is the second release of this unit of competency in the TLI Transport and Logistics Training Package:</w:t>
            </w:r>
          </w:p>
          <w:p w:rsidR="00000000" w:rsidRPr="00F82ADC" w:rsidP="00F82ADC">
            <w:pPr>
              <w:pStyle w:val="ListBullet"/>
            </w:pPr>
            <w:r w:rsidRPr="00F82ADC">
              <w:t>Minor statement changes in Knowledge Evidence</w:t>
            </w:r>
          </w:p>
          <w:p w:rsidR="00000000" w:rsidP="00F82ADC">
            <w:pPr>
              <w:pStyle w:val="ListBullet"/>
              <w:rPr>
                <w:lang w:val="en-NZ"/>
              </w:rPr>
            </w:pPr>
            <w:r w:rsidRPr="00F82ADC">
              <w:t>Minor statement changes in Assessment Conditions.</w:t>
            </w:r>
          </w:p>
        </w:tc>
      </w:tr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R</w:t>
            </w:r>
            <w:r w:rsidRPr="00F82ADC">
              <w:rPr>
                <w:rStyle w:val="SpecialBold"/>
              </w:rPr>
              <w:t>elease 1</w:t>
            </w:r>
            <w:r w:rsidRPr="00F82ADC">
              <w:t>. This is the first release of this unit of competency in the TLI Transport and Logistics Training Package.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2" w:name="O_1195753"/>
      <w:bookmarkEnd w:id="2"/>
      <w:r w:rsidRPr="00F82A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This unit involves the skills and knowledge required to apply awareness of motive power unit fundamentals.</w:t>
            </w:r>
          </w:p>
          <w:p w:rsidR="00000000" w:rsidRPr="00F82ADC" w:rsidP="00F82ADC">
            <w:pPr>
              <w:pStyle w:val="BodyText"/>
            </w:pPr>
            <w:r w:rsidRPr="00F82ADC">
              <w:t>It includes identifying basic motive power unit types, air/vacuum systems, electrical systems, mechanical systems, control systems, cooling and lubricating systems, auxiliary equipment, safety system equipment and their basic operations.</w:t>
            </w:r>
          </w:p>
          <w:p w:rsidR="00000000" w:rsidRPr="00F82ADC" w:rsidP="00F82ADC">
            <w:pPr>
              <w:pStyle w:val="BodyText"/>
            </w:pPr>
            <w:r w:rsidRPr="00F82ADC">
              <w:t>This unit is inten</w:t>
            </w:r>
            <w:r w:rsidRPr="00F82ADC">
              <w:t>ded as an introduction for people entering the rail industry who will be working on or around motive power units.</w:t>
            </w:r>
          </w:p>
          <w:p w:rsidR="00000000" w:rsidRPr="00F82ADC" w:rsidP="00F82ADC">
            <w:pPr>
              <w:pStyle w:val="BodyText"/>
            </w:pPr>
            <w:r w:rsidRPr="00F82ADC">
              <w:t>A motive power unit is a rail vehicle used to provide the power to move itself or other vehicles.</w:t>
            </w:r>
          </w:p>
          <w:p w:rsidR="00000000" w:rsidRPr="00F82ADC" w:rsidP="00F82ADC">
            <w:pPr>
              <w:pStyle w:val="BodyText"/>
            </w:pPr>
            <w:r w:rsidRPr="00F82ADC">
              <w:t>No licensing, legislative or certification requirements apply to this unit at the time of publication.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3" w:name="O_1195752"/>
      <w:bookmarkEnd w:id="3"/>
      <w:r w:rsidRPr="00F82A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Not applicable.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4" w:name="O_1195751"/>
      <w:bookmarkEnd w:id="4"/>
      <w:r w:rsidRPr="00F82A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B – Equipment Checking and Maintenance.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5" w:name="O_1195750"/>
      <w:bookmarkEnd w:id="5"/>
      <w:r w:rsidRPr="00F82A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Rail sector.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6" w:name="O_1195749"/>
      <w:bookmarkEnd w:id="6"/>
      <w:r w:rsidRPr="00F82AD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"/>
        <w:gridCol w:w="2911"/>
        <w:gridCol w:w="486"/>
        <w:gridCol w:w="5550"/>
      </w:tblGrid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PERFORMANCE CRITERIA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Performance criteria describe the performance needed to demonstrate achievement of the element.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basic motive power unit types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Different motive power unit types and/or gauges currently in operation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layout of different types of motive power unit is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Hazards are identified, risks are assessed and risk control measures are implemented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air/vacuum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air/vacuum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air/vacuum system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electrical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electrical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electrical system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mechanical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mechanical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mechanical system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control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control system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control systems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cooling and lubricating systems and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cooling and lubricating system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cooling and lubricating systems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auxiliary equipment and its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Basic auxiliary equipment components relevant to motive power unit type are located and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Uses and operation of auxiliary equipment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rPr>
                <w:rStyle w:val="SpecialBold"/>
              </w:rPr>
              <w:t>Identify safety system equipment and their operation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t>Safety system equipment and compo</w:t>
            </w:r>
            <w:r w:rsidRPr="00F82ADC">
              <w:t>nents relevant to motive power types are identified</w:t>
            </w:r>
          </w:p>
        </w:tc>
      </w:tr>
      <w:tr w:rsidTr="009D36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ADC">
            <w:pPr>
              <w:pStyle w:val="BodyText"/>
              <w:rPr>
                <w:lang w:val="en-NZ"/>
              </w:rPr>
            </w:pPr>
            <w:r w:rsidRPr="00F82ADC">
              <w:rPr>
                <w:rStyle w:val="SpecialBold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Uses and operation of safety system equipment are identified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7" w:name="O_1195748"/>
      <w:bookmarkEnd w:id="7"/>
      <w:r w:rsidRPr="00F82A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Foundation skills essential to performance are explicit in the performance criteria of this unit of competency.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8" w:name="O_1195747"/>
      <w:bookmarkEnd w:id="8"/>
      <w:r w:rsidRPr="00F82A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Range is restricted to essential operating conditions and any other variables essential to the work env</w:t>
            </w:r>
            <w:r w:rsidRPr="00F82ADC">
              <w:t>ironment.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9" w:name="O_1195746"/>
      <w:bookmarkEnd w:id="9"/>
      <w:r w:rsidRPr="00F82A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2A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ADC" w:rsidP="00F82ADC">
            <w:pPr>
              <w:pStyle w:val="BodyText"/>
            </w:pPr>
            <w:r w:rsidRPr="00F82ADC">
              <w:t>This unit replaces and is equivalent to TLIB3123A Apply awareness of motive power unit fundamentals.</w:t>
            </w:r>
          </w:p>
        </w:tc>
      </w:tr>
    </w:tbl>
    <w:p w:rsidR="00000000" w:rsidRPr="00F82ADC" w:rsidP="00F82ADC">
      <w:pPr>
        <w:pStyle w:val="NoPaddingFontSize1"/>
      </w:pPr>
    </w:p>
    <w:p w:rsidR="00000000" w:rsidRPr="00F82ADC" w:rsidP="00F82ADC">
      <w:pPr>
        <w:pStyle w:val="AllowPageBreak"/>
      </w:pPr>
    </w:p>
    <w:p w:rsidR="00000000" w:rsidRPr="00F82ADC" w:rsidP="00F82ADC">
      <w:pPr>
        <w:pStyle w:val="Heading1"/>
      </w:pPr>
      <w:bookmarkStart w:id="10" w:name="O_1195755"/>
      <w:bookmarkEnd w:id="10"/>
      <w:r w:rsidRPr="00F82ADC">
        <w:t>Links</w:t>
      </w:r>
    </w:p>
    <w:p w:rsidR="00000000" w:rsidRPr="00F82ADC" w:rsidP="009D36CA">
      <w:pPr>
        <w:pStyle w:val="BodyText"/>
      </w:pPr>
      <w:r w:rsidRPr="00F82ADC">
        <w:t>Companion Volume Impleme</w:t>
      </w:r>
      <w:r w:rsidRPr="00F82ADC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C54C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82ADC" w:rsidP="00F82ADC"/>
    <w:sectPr w:rsidSect="00F82A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DC" w:rsidRPr="009D36CA" w:rsidP="009D36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CA" w:rsidP="00F82A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6CA" w:rsidP="00F82A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D36CA" w:rsidP="00F82A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ADC" w:rsidRPr="009D36CA" w:rsidP="009D36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A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CA" w:rsidRPr="002D2AF8" w:rsidP="00F82A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TLIB3123 Apply awareness of motive power unit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D36CA" w:rsidP="00F82A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78F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2C6B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A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A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A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A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A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A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A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A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A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A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A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ADC"/>
  </w:style>
  <w:style w:type="character" w:customStyle="1" w:styleId="Heading1Char">
    <w:name w:val="Heading 1 Char"/>
    <w:basedOn w:val="DefaultParagraphFont"/>
    <w:link w:val="Heading1"/>
    <w:rsid w:val="00F82A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A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A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A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ADC"/>
    <w:rPr>
      <w:b/>
      <w:spacing w:val="0"/>
    </w:rPr>
  </w:style>
  <w:style w:type="paragraph" w:customStyle="1" w:styleId="SuperHeading">
    <w:name w:val="SuperHeading"/>
    <w:basedOn w:val="Normal"/>
    <w:rsid w:val="00F82A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A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A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A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A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A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A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A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A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A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A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A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A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A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A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A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A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A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A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A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A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A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A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A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A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A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A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A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A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A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A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A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A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ADC"/>
    <w:rPr>
      <w:i/>
    </w:rPr>
  </w:style>
  <w:style w:type="paragraph" w:styleId="Caption">
    <w:name w:val="caption"/>
    <w:basedOn w:val="BodyText"/>
    <w:next w:val="Normal"/>
    <w:qFormat/>
    <w:rsid w:val="00F82A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A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A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ADC"/>
  </w:style>
  <w:style w:type="paragraph" w:styleId="TableofFigures">
    <w:name w:val="table of figures"/>
    <w:basedOn w:val="Normal"/>
    <w:next w:val="Normal"/>
    <w:semiHidden/>
    <w:rsid w:val="00F82A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A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2ADC"/>
    <w:rPr>
      <w:rFonts w:ascii="Wingdings" w:hAnsi="Wingdings"/>
    </w:rPr>
  </w:style>
  <w:style w:type="paragraph" w:customStyle="1" w:styleId="TableHeading">
    <w:name w:val="Table Heading"/>
    <w:basedOn w:val="HeadingBase"/>
    <w:rsid w:val="00F82A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ADC"/>
    <w:rPr>
      <w:color w:val="0033CC"/>
      <w:u w:val="none"/>
    </w:rPr>
  </w:style>
  <w:style w:type="paragraph" w:customStyle="1" w:styleId="BodyTextRight">
    <w:name w:val="Body Text Right"/>
    <w:basedOn w:val="BodyText"/>
    <w:rsid w:val="00F82A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A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A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A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A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A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ADC"/>
    <w:rPr>
      <w:sz w:val="32"/>
    </w:rPr>
  </w:style>
  <w:style w:type="paragraph" w:customStyle="1" w:styleId="HeadingProcedure">
    <w:name w:val="Heading Procedure"/>
    <w:basedOn w:val="HeadingBase"/>
    <w:next w:val="Normal"/>
    <w:rsid w:val="00F82A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ADC"/>
    <w:pPr>
      <w:spacing w:before="60" w:after="60"/>
    </w:pPr>
  </w:style>
  <w:style w:type="paragraph" w:styleId="ListContinue">
    <w:name w:val="List Continue"/>
    <w:basedOn w:val="List"/>
    <w:rsid w:val="00F82ADC"/>
    <w:pPr>
      <w:ind w:firstLine="0"/>
    </w:pPr>
  </w:style>
  <w:style w:type="paragraph" w:customStyle="1" w:styleId="ListNote">
    <w:name w:val="List Note"/>
    <w:basedOn w:val="List"/>
    <w:rsid w:val="00F82A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A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A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ADC"/>
    <w:rPr>
      <w:rFonts w:ascii="Courier New" w:hAnsi="Courier New"/>
    </w:rPr>
  </w:style>
  <w:style w:type="paragraph" w:customStyle="1" w:styleId="NoteBullet">
    <w:name w:val="Note Bullet"/>
    <w:basedOn w:val="Note"/>
    <w:rsid w:val="00F82A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A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A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A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A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2A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A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ADC"/>
    <w:rPr>
      <w:b/>
      <w:smallCaps/>
    </w:rPr>
  </w:style>
  <w:style w:type="paragraph" w:customStyle="1" w:styleId="TableListNumber">
    <w:name w:val="Table List Number"/>
    <w:basedOn w:val="ListNumber"/>
    <w:rsid w:val="00F82A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A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ADC"/>
    <w:pPr>
      <w:numPr>
        <w:numId w:val="8"/>
      </w:numPr>
    </w:pPr>
  </w:style>
  <w:style w:type="paragraph" w:customStyle="1" w:styleId="ListAlpha2">
    <w:name w:val="List Alpha 2"/>
    <w:basedOn w:val="List2"/>
    <w:rsid w:val="00F82ADC"/>
    <w:pPr>
      <w:numPr>
        <w:numId w:val="7"/>
      </w:numPr>
    </w:pPr>
  </w:style>
  <w:style w:type="paragraph" w:styleId="List2">
    <w:name w:val="List 2"/>
    <w:basedOn w:val="BodyText"/>
    <w:rsid w:val="00F82A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A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A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A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A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A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ADC"/>
    <w:pPr>
      <w:numPr>
        <w:numId w:val="3"/>
      </w:numPr>
    </w:pPr>
  </w:style>
  <w:style w:type="paragraph" w:styleId="ListContinue2">
    <w:name w:val="List Continue 2"/>
    <w:basedOn w:val="List2"/>
    <w:rsid w:val="00F82ADC"/>
    <w:pPr>
      <w:ind w:firstLine="0"/>
    </w:pPr>
  </w:style>
  <w:style w:type="paragraph" w:styleId="ListContinue3">
    <w:name w:val="List Continue 3"/>
    <w:basedOn w:val="List3"/>
    <w:rsid w:val="00F82ADC"/>
    <w:pPr>
      <w:ind w:left="1021" w:firstLine="0"/>
    </w:pPr>
  </w:style>
  <w:style w:type="paragraph" w:styleId="ListContinue4">
    <w:name w:val="List Continue 4"/>
    <w:basedOn w:val="List4"/>
    <w:rsid w:val="00F82ADC"/>
    <w:pPr>
      <w:ind w:firstLine="0"/>
    </w:pPr>
  </w:style>
  <w:style w:type="paragraph" w:styleId="ListContinue5">
    <w:name w:val="List Continue 5"/>
    <w:basedOn w:val="List5"/>
    <w:rsid w:val="00F82ADC"/>
    <w:pPr>
      <w:ind w:firstLine="0"/>
    </w:pPr>
  </w:style>
  <w:style w:type="paragraph" w:styleId="ListNumber3">
    <w:name w:val="List Number 3"/>
    <w:basedOn w:val="List3"/>
    <w:rsid w:val="00F82ADC"/>
    <w:pPr>
      <w:numPr>
        <w:numId w:val="4"/>
      </w:numPr>
    </w:pPr>
  </w:style>
  <w:style w:type="paragraph" w:styleId="ListNumber4">
    <w:name w:val="List Number 4"/>
    <w:basedOn w:val="List4"/>
    <w:rsid w:val="00F82ADC"/>
    <w:pPr>
      <w:numPr>
        <w:numId w:val="5"/>
      </w:numPr>
    </w:pPr>
  </w:style>
  <w:style w:type="paragraph" w:styleId="ListNumber5">
    <w:name w:val="List Number 5"/>
    <w:basedOn w:val="List5"/>
    <w:rsid w:val="00F82ADC"/>
    <w:pPr>
      <w:numPr>
        <w:numId w:val="6"/>
      </w:numPr>
    </w:pPr>
  </w:style>
  <w:style w:type="paragraph" w:styleId="BlockText">
    <w:name w:val="Block Text"/>
    <w:basedOn w:val="Normal"/>
    <w:rsid w:val="00F82A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A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ADC"/>
    <w:rPr>
      <w:sz w:val="16"/>
      <w:vertAlign w:val="superscript"/>
    </w:rPr>
  </w:style>
  <w:style w:type="character" w:customStyle="1" w:styleId="Symbols">
    <w:name w:val="Symbols"/>
    <w:basedOn w:val="DefaultParagraphFont"/>
    <w:rsid w:val="00F82ADC"/>
    <w:rPr>
      <w:rFonts w:ascii="Symbol" w:hAnsi="Symbol"/>
    </w:rPr>
  </w:style>
  <w:style w:type="character" w:customStyle="1" w:styleId="MenuOptions">
    <w:name w:val="Menu Options"/>
    <w:basedOn w:val="DefaultParagraphFont"/>
    <w:rsid w:val="00F82A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ADC"/>
    <w:rPr>
      <w:b/>
    </w:rPr>
  </w:style>
  <w:style w:type="character" w:customStyle="1" w:styleId="Underlined">
    <w:name w:val="Underlined"/>
    <w:basedOn w:val="DefaultParagraphFont"/>
    <w:rsid w:val="00F82ADC"/>
    <w:rPr>
      <w:u w:val="single"/>
    </w:rPr>
  </w:style>
  <w:style w:type="paragraph" w:customStyle="1" w:styleId="TableBodyTextRight">
    <w:name w:val="Table Body Text Right"/>
    <w:basedOn w:val="TableBodyText"/>
    <w:rsid w:val="00F82A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ADC"/>
    <w:rPr>
      <w:sz w:val="18"/>
    </w:rPr>
  </w:style>
  <w:style w:type="paragraph" w:customStyle="1" w:styleId="BodySmallRight">
    <w:name w:val="Body Small Right"/>
    <w:basedOn w:val="BodyTextRight"/>
    <w:rsid w:val="00F82ADC"/>
    <w:rPr>
      <w:sz w:val="18"/>
      <w:szCs w:val="18"/>
    </w:rPr>
  </w:style>
  <w:style w:type="paragraph" w:customStyle="1" w:styleId="MarginEdition">
    <w:name w:val="Margin Edition"/>
    <w:basedOn w:val="MarginNote"/>
    <w:rsid w:val="00F82A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ADC"/>
    <w:rPr>
      <w:sz w:val="2"/>
      <w:szCs w:val="2"/>
    </w:rPr>
  </w:style>
  <w:style w:type="character" w:customStyle="1" w:styleId="Small">
    <w:name w:val="Small"/>
    <w:basedOn w:val="DefaultParagraphFont"/>
    <w:rsid w:val="00F82ADC"/>
    <w:rPr>
      <w:sz w:val="16"/>
    </w:rPr>
  </w:style>
  <w:style w:type="paragraph" w:customStyle="1" w:styleId="WideTable">
    <w:name w:val="Wide Table"/>
    <w:basedOn w:val="Normal"/>
    <w:rsid w:val="00F82A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ADC"/>
  </w:style>
  <w:style w:type="paragraph" w:styleId="Quote">
    <w:name w:val="Quote"/>
    <w:basedOn w:val="Heading1"/>
    <w:link w:val="QuoteChar"/>
    <w:qFormat/>
    <w:rsid w:val="00F82A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A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ADC"/>
    <w:pPr>
      <w:pageBreakBefore/>
    </w:pPr>
  </w:style>
  <w:style w:type="paragraph" w:customStyle="1" w:styleId="Border">
    <w:name w:val="Border"/>
    <w:basedOn w:val="Normal"/>
    <w:qFormat/>
    <w:rsid w:val="00F82A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A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A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A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A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A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A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A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A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ADC"/>
    <w:rPr>
      <w:u w:val="single"/>
    </w:rPr>
  </w:style>
  <w:style w:type="character" w:customStyle="1" w:styleId="BoldandItalics">
    <w:name w:val="Bold and Italics"/>
    <w:qFormat/>
    <w:rsid w:val="00F82ADC"/>
    <w:rPr>
      <w:b/>
      <w:i/>
      <w:u w:val="none"/>
    </w:rPr>
  </w:style>
  <w:style w:type="paragraph" w:styleId="BalloonText">
    <w:name w:val="Balloon Text"/>
    <w:basedOn w:val="Normal"/>
    <w:link w:val="BalloonTextChar"/>
    <w:rsid w:val="00F82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A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A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A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A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A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ADC"/>
    <w:pPr>
      <w:spacing w:before="0" w:after="0"/>
    </w:pPr>
  </w:style>
  <w:style w:type="paragraph" w:customStyle="1" w:styleId="BodyTextBold">
    <w:name w:val="Body Text Bold"/>
    <w:basedOn w:val="BodyText"/>
    <w:qFormat/>
    <w:rsid w:val="00F82ADC"/>
    <w:rPr>
      <w:b/>
    </w:rPr>
  </w:style>
  <w:style w:type="character" w:styleId="Hyperlink">
    <w:name w:val="Hyperlink"/>
    <w:basedOn w:val="DefaultParagraphFont"/>
    <w:uiPriority w:val="99"/>
    <w:unhideWhenUsed/>
    <w:rsid w:val="009D36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3437</Characters>
  <Application>Microsoft Office Word</Application>
  <DocSecurity>0</DocSecurity>
  <Lines>163</Lines>
  <Paragraphs>102</Paragraphs>
  <ScaleCrop>false</ScaleCrop>
  <Company>Author-it Software Corporation Ltd.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TLIB3123 Apply awareness of motive power unit fundamentals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