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A0C" w:rsidP="00217A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TLIB3118 Apply awareness of railway fundamentals</w:t>
      </w:r>
      <w:r>
        <w:fldChar w:fldCharType="end"/>
      </w:r>
    </w:p>
    <w:p w:rsidR="00217A0C" w:rsidP="00217A0C">
      <w:pPr>
        <w:pStyle w:val="Version"/>
        <w:sectPr w:rsidSect="002B42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424B" w:rsidP="002B424B">
      <w:pPr>
        <w:pStyle w:val="SuperHeading"/>
      </w:pPr>
      <w:r w:rsidRPr="002B424B">
        <w:t>TLIB3118 Apply awareness of railway fundamentals</w:t>
      </w:r>
    </w:p>
    <w:p w:rsidR="00000000" w:rsidRPr="002B424B" w:rsidP="002B424B">
      <w:pPr>
        <w:pStyle w:val="Heading1"/>
      </w:pPr>
      <w:bookmarkStart w:id="1" w:name="O_1091085"/>
      <w:bookmarkEnd w:id="1"/>
      <w:r w:rsidRPr="002B42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t>Release 2. This is the second release of this unit of competency in the TLI Transport and Logistics Training Package:</w:t>
            </w:r>
          </w:p>
          <w:p w:rsidR="00000000" w:rsidP="002B424B">
            <w:pPr>
              <w:pStyle w:val="ListBullet"/>
              <w:rPr>
                <w:lang w:val="en-NZ"/>
              </w:rPr>
            </w:pPr>
            <w:r w:rsidRPr="002B424B">
              <w:t>Minor statement changes in Assessment Conditions.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t>Release 1. This is the first release of this unit of com</w:t>
            </w:r>
            <w:r w:rsidRPr="002B424B">
              <w:t>petency in the TLI Transport and Logistics Training Package.</w:t>
            </w:r>
          </w:p>
        </w:tc>
      </w:tr>
    </w:tbl>
    <w:p w:rsidR="00000000" w:rsidRPr="002B424B" w:rsidP="002B424B">
      <w:pPr>
        <w:pStyle w:val="NoPaddingFontSize1"/>
      </w:pPr>
    </w:p>
    <w:p w:rsidR="00000000" w:rsidRPr="002B424B" w:rsidP="002B424B">
      <w:pPr>
        <w:pStyle w:val="AllowPageBreak"/>
      </w:pPr>
    </w:p>
    <w:p w:rsidR="00000000" w:rsidRPr="002B424B" w:rsidP="002B424B">
      <w:pPr>
        <w:pStyle w:val="Heading1"/>
      </w:pPr>
      <w:bookmarkStart w:id="2" w:name="O_1091084"/>
      <w:bookmarkEnd w:id="2"/>
      <w:r w:rsidRPr="002B424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t>This unit involves the skills and knowledge required to develop an awareness of railway fundamentals. This includes the track, trackside equipment, fixed structur</w:t>
            </w:r>
            <w:r w:rsidRPr="002B424B">
              <w:t xml:space="preserve">es, rail vehicles and rolling stock. </w:t>
            </w:r>
          </w:p>
          <w:p w:rsidR="00000000" w:rsidRPr="002B424B" w:rsidP="002B424B">
            <w:pPr>
              <w:pStyle w:val="BodyText"/>
            </w:pPr>
            <w:r w:rsidRPr="002B424B">
              <w:t>This unit is intended for people entering the rail industry who will be required to enter and work in the rail corridor.</w:t>
            </w:r>
          </w:p>
          <w:p w:rsidR="00000000" w:rsidRPr="002B424B" w:rsidP="002B424B">
            <w:pPr>
              <w:pStyle w:val="BodyText"/>
            </w:pPr>
            <w:r w:rsidRPr="002B424B">
              <w:t>No licensing, legislative or certification requirements apply to this unit at the time of publica</w:t>
            </w:r>
            <w:r w:rsidRPr="002B424B">
              <w:t>tion.</w:t>
            </w:r>
          </w:p>
        </w:tc>
      </w:tr>
    </w:tbl>
    <w:p w:rsidR="00000000" w:rsidRPr="002B424B" w:rsidP="002B424B">
      <w:pPr>
        <w:pStyle w:val="NoPaddingFontSize1"/>
      </w:pPr>
    </w:p>
    <w:p w:rsidR="00000000" w:rsidRPr="002B424B" w:rsidP="002B424B">
      <w:pPr>
        <w:pStyle w:val="AllowPageBreak"/>
      </w:pPr>
    </w:p>
    <w:p w:rsidR="00000000" w:rsidRPr="002B424B" w:rsidP="002B424B">
      <w:pPr>
        <w:pStyle w:val="Heading1"/>
      </w:pPr>
      <w:bookmarkStart w:id="3" w:name="O_1091083"/>
      <w:bookmarkEnd w:id="3"/>
      <w:r w:rsidRPr="002B424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t>Not applicable.</w:t>
            </w:r>
          </w:p>
        </w:tc>
      </w:tr>
    </w:tbl>
    <w:p w:rsidR="00000000" w:rsidRPr="002B424B" w:rsidP="002B424B">
      <w:pPr>
        <w:pStyle w:val="NoPaddingFontSize1"/>
      </w:pPr>
    </w:p>
    <w:p w:rsidR="00000000" w:rsidRPr="002B424B" w:rsidP="002B424B">
      <w:pPr>
        <w:pStyle w:val="AllowPageBreak"/>
      </w:pPr>
    </w:p>
    <w:p w:rsidR="00000000" w:rsidRPr="002B424B" w:rsidP="002B424B">
      <w:pPr>
        <w:pStyle w:val="Heading1"/>
      </w:pPr>
      <w:bookmarkStart w:id="4" w:name="O_1091082"/>
      <w:bookmarkEnd w:id="4"/>
      <w:r w:rsidRPr="002B424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t>B – Equipment Checking and Maintenance</w:t>
            </w:r>
          </w:p>
        </w:tc>
      </w:tr>
    </w:tbl>
    <w:p w:rsidR="00000000" w:rsidRPr="002B424B" w:rsidP="002B424B">
      <w:pPr>
        <w:pStyle w:val="NoPaddingFontSize1"/>
      </w:pPr>
    </w:p>
    <w:p w:rsidR="00000000" w:rsidRPr="002B424B" w:rsidP="002B424B">
      <w:pPr>
        <w:pStyle w:val="AllowPageBreak"/>
      </w:pPr>
    </w:p>
    <w:p w:rsidR="00000000" w:rsidRPr="002B424B" w:rsidP="002B424B">
      <w:pPr>
        <w:pStyle w:val="Heading1"/>
      </w:pPr>
      <w:bookmarkStart w:id="5" w:name="O_1091081"/>
      <w:bookmarkEnd w:id="5"/>
      <w:r w:rsidRPr="002B424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t>Rail sector.</w:t>
            </w:r>
          </w:p>
        </w:tc>
      </w:tr>
    </w:tbl>
    <w:p w:rsidR="00000000" w:rsidRPr="002B424B" w:rsidP="002B424B">
      <w:pPr>
        <w:pStyle w:val="NoPaddingFontSize1"/>
      </w:pPr>
    </w:p>
    <w:p w:rsidR="00000000" w:rsidRPr="002B424B" w:rsidP="002B424B">
      <w:pPr>
        <w:pStyle w:val="AllowPageBreak"/>
      </w:pPr>
    </w:p>
    <w:p w:rsidR="00000000" w:rsidRPr="002B424B" w:rsidP="002B424B">
      <w:pPr>
        <w:pStyle w:val="Heading1"/>
      </w:pPr>
      <w:bookmarkStart w:id="6" w:name="O_1091080"/>
      <w:bookmarkEnd w:id="6"/>
      <w:r w:rsidRPr="002B424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65"/>
        <w:gridCol w:w="3033"/>
        <w:gridCol w:w="1460"/>
        <w:gridCol w:w="4339"/>
      </w:tblGrid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rPr>
                <w:rStyle w:val="SpecialBold"/>
              </w:rPr>
              <w:t>ELEMENTS</w:t>
            </w:r>
          </w:p>
        </w:tc>
        <w:tc>
          <w:tcPr>
            <w:tcW w:w="57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rPr>
                <w:rStyle w:val="SpecialBold"/>
              </w:rPr>
              <w:t>PERFORMANCE CRITERIA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Elements describe the essential outcomes.</w:t>
            </w:r>
          </w:p>
        </w:tc>
        <w:tc>
          <w:tcPr>
            <w:tcW w:w="57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Performance criteria describe the performance needed to demonstrate achievement of the element.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rPr>
                <w:rStyle w:val="SpecialBold"/>
              </w:rPr>
              <w:t>1</w:t>
            </w:r>
          </w:p>
        </w:tc>
        <w:tc>
          <w:tcPr>
            <w:tcW w:w="30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rPr>
                <w:rStyle w:val="SpecialBold"/>
              </w:rPr>
              <w:t xml:space="preserve">Identify track and structures terminology and </w:t>
            </w:r>
            <w:r w:rsidRPr="002B424B">
              <w:rPr>
                <w:rStyle w:val="SpecialBold"/>
              </w:rPr>
              <w:t>features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1.1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Basic terminology is explained for track, trackside equipment and fixed structures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1.2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Features of track, including geography, geometry and classes are explained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1.3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Bridges and other infrastructure categories and their purpose are identified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1.4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Other principal structure types and their purpose are identified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1.5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Relevant stakeholders to whom structural faults and anomalies are reported, are identified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rPr>
                <w:rStyle w:val="SpecialBold"/>
              </w:rPr>
              <w:t>2</w:t>
            </w:r>
          </w:p>
        </w:tc>
        <w:tc>
          <w:tcPr>
            <w:tcW w:w="30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rPr>
                <w:rStyle w:val="SpecialBold"/>
              </w:rPr>
              <w:t>Identify overhead and/or electrical components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2.1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Principal overhead and/or other electri</w:t>
            </w:r>
            <w:r w:rsidRPr="002B424B">
              <w:t>cal components and their purpose are identified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2.2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 xml:space="preserve">Power sources are identified 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2.3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Methods of isolation and their purpose are identified in accordance with organisational procedures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rPr>
                <w:rStyle w:val="SpecialBold"/>
              </w:rPr>
              <w:t>3</w:t>
            </w:r>
          </w:p>
        </w:tc>
        <w:tc>
          <w:tcPr>
            <w:tcW w:w="30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rPr>
                <w:rStyle w:val="SpecialBold"/>
              </w:rPr>
              <w:t>Identify rail track vehicles and rolling stock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3.1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Types of trains and rolling stock are identified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3.2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Types of machines used for track installation and maintenance are identified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3.3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Types of rail track vehicles are identified</w:t>
            </w:r>
          </w:p>
        </w:tc>
      </w:tr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24B">
            <w:pPr>
              <w:pStyle w:val="BodyText"/>
              <w:rPr>
                <w:lang w:val="en-NZ"/>
              </w:rPr>
            </w:pPr>
            <w:r w:rsidRPr="002B424B">
              <w:t>3.4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t>Relevant stakeholders to whom</w:t>
            </w:r>
            <w:r w:rsidRPr="002B424B">
              <w:t xml:space="preserve"> rolling stock faults and anomalies are reported, are identified</w:t>
            </w:r>
          </w:p>
        </w:tc>
      </w:tr>
    </w:tbl>
    <w:p w:rsidR="00000000" w:rsidRPr="002B424B" w:rsidP="002B424B">
      <w:pPr>
        <w:pStyle w:val="NoPaddingFontSize1"/>
      </w:pPr>
    </w:p>
    <w:p w:rsidR="00000000" w:rsidRPr="002B424B" w:rsidP="002B424B">
      <w:pPr>
        <w:pStyle w:val="AllowPageBreak"/>
      </w:pPr>
    </w:p>
    <w:p w:rsidR="00000000" w:rsidRPr="002B424B" w:rsidP="002B424B">
      <w:pPr>
        <w:pStyle w:val="Heading1"/>
      </w:pPr>
      <w:bookmarkStart w:id="7" w:name="O_1091079"/>
      <w:bookmarkEnd w:id="7"/>
      <w:r w:rsidRPr="002B424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t>Foundation skills essential to performance are explicit in the performance criteria of this unit of competency.</w:t>
            </w:r>
          </w:p>
        </w:tc>
      </w:tr>
    </w:tbl>
    <w:p w:rsidR="00000000" w:rsidRPr="002B424B" w:rsidP="002B424B">
      <w:pPr>
        <w:pStyle w:val="NoPaddingFontSize1"/>
      </w:pPr>
    </w:p>
    <w:p w:rsidR="00000000" w:rsidRPr="002B424B" w:rsidP="002B424B">
      <w:pPr>
        <w:pStyle w:val="AllowPageBreak"/>
      </w:pPr>
    </w:p>
    <w:p w:rsidR="00000000" w:rsidRPr="002B424B" w:rsidP="002B424B">
      <w:pPr>
        <w:pStyle w:val="Heading1"/>
      </w:pPr>
      <w:bookmarkStart w:id="8" w:name="O_1091078"/>
      <w:bookmarkEnd w:id="8"/>
      <w:r w:rsidRPr="002B424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t>Range is restricted to essential operating conditions and any other variables essential to the work environment.</w:t>
            </w:r>
          </w:p>
        </w:tc>
      </w:tr>
    </w:tbl>
    <w:p w:rsidR="00000000" w:rsidRPr="002B424B" w:rsidP="002B424B">
      <w:pPr>
        <w:pStyle w:val="NoPaddingFontSize1"/>
      </w:pPr>
    </w:p>
    <w:p w:rsidR="00000000" w:rsidRPr="002B424B" w:rsidP="002B424B">
      <w:pPr>
        <w:pStyle w:val="AllowPageBreak"/>
      </w:pPr>
    </w:p>
    <w:p w:rsidR="00000000" w:rsidRPr="002B424B" w:rsidP="002B424B">
      <w:pPr>
        <w:pStyle w:val="Heading1"/>
      </w:pPr>
      <w:bookmarkStart w:id="9" w:name="O_1091077"/>
      <w:bookmarkEnd w:id="9"/>
      <w:r w:rsidRPr="002B424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2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24B" w:rsidP="002B424B">
            <w:pPr>
              <w:pStyle w:val="BodyText"/>
            </w:pPr>
            <w:r w:rsidRPr="002B424B">
              <w:t>This unit replaces and is equivalent to TLIB3118A Apply awareness of railway fundamentals.</w:t>
            </w:r>
          </w:p>
        </w:tc>
      </w:tr>
    </w:tbl>
    <w:p w:rsidR="00000000" w:rsidRPr="002B424B" w:rsidP="002B424B">
      <w:pPr>
        <w:pStyle w:val="NoPaddingFontSize1"/>
      </w:pPr>
    </w:p>
    <w:p w:rsidR="00000000" w:rsidRPr="002B424B" w:rsidP="002B424B">
      <w:pPr>
        <w:pStyle w:val="AllowPageBreak"/>
      </w:pPr>
    </w:p>
    <w:p w:rsidR="00000000" w:rsidRPr="002B424B" w:rsidP="002B424B">
      <w:pPr>
        <w:pStyle w:val="Heading1"/>
      </w:pPr>
      <w:bookmarkStart w:id="10" w:name="O_1091086"/>
      <w:bookmarkEnd w:id="10"/>
      <w:r w:rsidRPr="002B424B">
        <w:t>Links</w:t>
      </w:r>
    </w:p>
    <w:p w:rsidR="00000000" w:rsidRPr="002B424B" w:rsidP="00217A0C">
      <w:pPr>
        <w:pStyle w:val="BodyText"/>
      </w:pPr>
      <w:r w:rsidRPr="002B42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629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B424B" w:rsidP="002B424B"/>
    <w:sectPr w:rsidSect="002B42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2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24B" w:rsidRPr="00217A0C" w:rsidP="00217A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2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0C" w:rsidP="002B4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7A0C" w:rsidP="002B4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17A0C" w:rsidP="002B42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2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24B" w:rsidRPr="00217A0C" w:rsidP="00217A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2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A0C" w:rsidRPr="002D2AF8" w:rsidP="002B4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TLIB3118 Apply awareness of railway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17A0C" w:rsidP="002B42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38A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CE4B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2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2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2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2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2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2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2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2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2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2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2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24B"/>
  </w:style>
  <w:style w:type="character" w:customStyle="1" w:styleId="Heading1Char">
    <w:name w:val="Heading 1 Char"/>
    <w:basedOn w:val="DefaultParagraphFont"/>
    <w:link w:val="Heading1"/>
    <w:rsid w:val="002B42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2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2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2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24B"/>
    <w:rPr>
      <w:b/>
      <w:spacing w:val="0"/>
    </w:rPr>
  </w:style>
  <w:style w:type="paragraph" w:customStyle="1" w:styleId="SuperHeading">
    <w:name w:val="SuperHeading"/>
    <w:basedOn w:val="Normal"/>
    <w:rsid w:val="002B42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2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42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2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2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2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2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2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2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2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2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2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2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2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2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2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2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2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2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2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2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2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2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2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2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2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2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2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2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2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2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24B"/>
    <w:rPr>
      <w:i/>
    </w:rPr>
  </w:style>
  <w:style w:type="paragraph" w:styleId="Caption">
    <w:name w:val="caption"/>
    <w:basedOn w:val="BodyText"/>
    <w:next w:val="Normal"/>
    <w:qFormat/>
    <w:rsid w:val="002B42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2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2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24B"/>
  </w:style>
  <w:style w:type="paragraph" w:styleId="TableofFigures">
    <w:name w:val="table of figures"/>
    <w:basedOn w:val="Normal"/>
    <w:next w:val="Normal"/>
    <w:semiHidden/>
    <w:rsid w:val="002B42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2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424B"/>
    <w:rPr>
      <w:rFonts w:ascii="Wingdings" w:hAnsi="Wingdings"/>
    </w:rPr>
  </w:style>
  <w:style w:type="paragraph" w:customStyle="1" w:styleId="TableHeading">
    <w:name w:val="Table Heading"/>
    <w:basedOn w:val="HeadingBase"/>
    <w:rsid w:val="002B42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24B"/>
    <w:rPr>
      <w:color w:val="0033CC"/>
      <w:u w:val="none"/>
    </w:rPr>
  </w:style>
  <w:style w:type="paragraph" w:customStyle="1" w:styleId="BodyTextRight">
    <w:name w:val="Body Text Right"/>
    <w:basedOn w:val="BodyText"/>
    <w:rsid w:val="002B42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2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2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2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2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2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24B"/>
    <w:rPr>
      <w:sz w:val="32"/>
    </w:rPr>
  </w:style>
  <w:style w:type="paragraph" w:customStyle="1" w:styleId="HeadingProcedure">
    <w:name w:val="Heading Procedure"/>
    <w:basedOn w:val="HeadingBase"/>
    <w:next w:val="Normal"/>
    <w:rsid w:val="002B42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24B"/>
    <w:pPr>
      <w:spacing w:before="60" w:after="60"/>
    </w:pPr>
  </w:style>
  <w:style w:type="paragraph" w:styleId="ListContinue">
    <w:name w:val="List Continue"/>
    <w:basedOn w:val="List"/>
    <w:rsid w:val="002B424B"/>
    <w:pPr>
      <w:ind w:firstLine="0"/>
    </w:pPr>
  </w:style>
  <w:style w:type="paragraph" w:customStyle="1" w:styleId="ListNote">
    <w:name w:val="List Note"/>
    <w:basedOn w:val="List"/>
    <w:rsid w:val="002B42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2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2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24B"/>
    <w:rPr>
      <w:rFonts w:ascii="Courier New" w:hAnsi="Courier New"/>
    </w:rPr>
  </w:style>
  <w:style w:type="paragraph" w:customStyle="1" w:styleId="NoteBullet">
    <w:name w:val="Note Bullet"/>
    <w:basedOn w:val="Note"/>
    <w:rsid w:val="002B42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2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2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2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2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42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2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24B"/>
    <w:rPr>
      <w:b/>
      <w:smallCaps/>
    </w:rPr>
  </w:style>
  <w:style w:type="paragraph" w:customStyle="1" w:styleId="TableListNumber">
    <w:name w:val="Table List Number"/>
    <w:basedOn w:val="ListNumber"/>
    <w:rsid w:val="002B42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2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24B"/>
    <w:pPr>
      <w:numPr>
        <w:numId w:val="8"/>
      </w:numPr>
    </w:pPr>
  </w:style>
  <w:style w:type="paragraph" w:customStyle="1" w:styleId="ListAlpha2">
    <w:name w:val="List Alpha 2"/>
    <w:basedOn w:val="List2"/>
    <w:rsid w:val="002B424B"/>
    <w:pPr>
      <w:numPr>
        <w:numId w:val="7"/>
      </w:numPr>
    </w:pPr>
  </w:style>
  <w:style w:type="paragraph" w:styleId="List2">
    <w:name w:val="List 2"/>
    <w:basedOn w:val="BodyText"/>
    <w:rsid w:val="002B42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2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2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2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2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2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424B"/>
    <w:pPr>
      <w:numPr>
        <w:numId w:val="3"/>
      </w:numPr>
    </w:pPr>
  </w:style>
  <w:style w:type="paragraph" w:styleId="ListContinue2">
    <w:name w:val="List Continue 2"/>
    <w:basedOn w:val="List2"/>
    <w:rsid w:val="002B424B"/>
    <w:pPr>
      <w:ind w:firstLine="0"/>
    </w:pPr>
  </w:style>
  <w:style w:type="paragraph" w:styleId="ListContinue3">
    <w:name w:val="List Continue 3"/>
    <w:basedOn w:val="List3"/>
    <w:rsid w:val="002B424B"/>
    <w:pPr>
      <w:ind w:left="1021" w:firstLine="0"/>
    </w:pPr>
  </w:style>
  <w:style w:type="paragraph" w:styleId="ListContinue4">
    <w:name w:val="List Continue 4"/>
    <w:basedOn w:val="List4"/>
    <w:rsid w:val="002B424B"/>
    <w:pPr>
      <w:ind w:firstLine="0"/>
    </w:pPr>
  </w:style>
  <w:style w:type="paragraph" w:styleId="ListContinue5">
    <w:name w:val="List Continue 5"/>
    <w:basedOn w:val="List5"/>
    <w:rsid w:val="002B424B"/>
    <w:pPr>
      <w:ind w:firstLine="0"/>
    </w:pPr>
  </w:style>
  <w:style w:type="paragraph" w:styleId="ListNumber3">
    <w:name w:val="List Number 3"/>
    <w:basedOn w:val="List3"/>
    <w:rsid w:val="002B424B"/>
    <w:pPr>
      <w:numPr>
        <w:numId w:val="4"/>
      </w:numPr>
    </w:pPr>
  </w:style>
  <w:style w:type="paragraph" w:styleId="ListNumber4">
    <w:name w:val="List Number 4"/>
    <w:basedOn w:val="List4"/>
    <w:rsid w:val="002B424B"/>
    <w:pPr>
      <w:numPr>
        <w:numId w:val="5"/>
      </w:numPr>
    </w:pPr>
  </w:style>
  <w:style w:type="paragraph" w:styleId="ListNumber5">
    <w:name w:val="List Number 5"/>
    <w:basedOn w:val="List5"/>
    <w:rsid w:val="002B424B"/>
    <w:pPr>
      <w:numPr>
        <w:numId w:val="6"/>
      </w:numPr>
    </w:pPr>
  </w:style>
  <w:style w:type="paragraph" w:styleId="BlockText">
    <w:name w:val="Block Text"/>
    <w:basedOn w:val="Normal"/>
    <w:rsid w:val="002B42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2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24B"/>
    <w:rPr>
      <w:sz w:val="16"/>
      <w:vertAlign w:val="superscript"/>
    </w:rPr>
  </w:style>
  <w:style w:type="character" w:customStyle="1" w:styleId="Symbols">
    <w:name w:val="Symbols"/>
    <w:basedOn w:val="DefaultParagraphFont"/>
    <w:rsid w:val="002B424B"/>
    <w:rPr>
      <w:rFonts w:ascii="Symbol" w:hAnsi="Symbol"/>
    </w:rPr>
  </w:style>
  <w:style w:type="character" w:customStyle="1" w:styleId="MenuOptions">
    <w:name w:val="Menu Options"/>
    <w:basedOn w:val="DefaultParagraphFont"/>
    <w:rsid w:val="002B42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24B"/>
    <w:rPr>
      <w:b/>
    </w:rPr>
  </w:style>
  <w:style w:type="character" w:customStyle="1" w:styleId="Underlined">
    <w:name w:val="Underlined"/>
    <w:basedOn w:val="DefaultParagraphFont"/>
    <w:rsid w:val="002B424B"/>
    <w:rPr>
      <w:u w:val="single"/>
    </w:rPr>
  </w:style>
  <w:style w:type="paragraph" w:customStyle="1" w:styleId="TableBodyTextRight">
    <w:name w:val="Table Body Text Right"/>
    <w:basedOn w:val="TableBodyText"/>
    <w:rsid w:val="002B42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24B"/>
    <w:rPr>
      <w:sz w:val="18"/>
    </w:rPr>
  </w:style>
  <w:style w:type="paragraph" w:customStyle="1" w:styleId="BodySmallRight">
    <w:name w:val="Body Small Right"/>
    <w:basedOn w:val="BodyTextRight"/>
    <w:rsid w:val="002B424B"/>
    <w:rPr>
      <w:sz w:val="18"/>
      <w:szCs w:val="18"/>
    </w:rPr>
  </w:style>
  <w:style w:type="paragraph" w:customStyle="1" w:styleId="MarginEdition">
    <w:name w:val="Margin Edition"/>
    <w:basedOn w:val="MarginNote"/>
    <w:rsid w:val="002B42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24B"/>
    <w:rPr>
      <w:sz w:val="2"/>
      <w:szCs w:val="2"/>
    </w:rPr>
  </w:style>
  <w:style w:type="character" w:customStyle="1" w:styleId="Small">
    <w:name w:val="Small"/>
    <w:basedOn w:val="DefaultParagraphFont"/>
    <w:rsid w:val="002B424B"/>
    <w:rPr>
      <w:sz w:val="16"/>
    </w:rPr>
  </w:style>
  <w:style w:type="paragraph" w:customStyle="1" w:styleId="WideTable">
    <w:name w:val="Wide Table"/>
    <w:basedOn w:val="Normal"/>
    <w:rsid w:val="002B42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24B"/>
  </w:style>
  <w:style w:type="paragraph" w:styleId="Quote">
    <w:name w:val="Quote"/>
    <w:basedOn w:val="Heading1"/>
    <w:link w:val="QuoteChar"/>
    <w:qFormat/>
    <w:rsid w:val="002B42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2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24B"/>
    <w:pPr>
      <w:pageBreakBefore/>
    </w:pPr>
  </w:style>
  <w:style w:type="paragraph" w:customStyle="1" w:styleId="Border">
    <w:name w:val="Border"/>
    <w:basedOn w:val="Normal"/>
    <w:qFormat/>
    <w:rsid w:val="002B42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2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2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2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2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2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2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2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2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24B"/>
    <w:rPr>
      <w:u w:val="single"/>
    </w:rPr>
  </w:style>
  <w:style w:type="character" w:customStyle="1" w:styleId="BoldandItalics">
    <w:name w:val="Bold and Italics"/>
    <w:qFormat/>
    <w:rsid w:val="002B424B"/>
    <w:rPr>
      <w:b/>
      <w:i/>
      <w:u w:val="none"/>
    </w:rPr>
  </w:style>
  <w:style w:type="paragraph" w:styleId="BalloonText">
    <w:name w:val="Balloon Text"/>
    <w:basedOn w:val="Normal"/>
    <w:link w:val="BalloonTextChar"/>
    <w:rsid w:val="002B4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2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2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2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2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2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24B"/>
    <w:pPr>
      <w:spacing w:before="0" w:after="0"/>
    </w:pPr>
  </w:style>
  <w:style w:type="paragraph" w:customStyle="1" w:styleId="BodyTextBold">
    <w:name w:val="Body Text Bold"/>
    <w:basedOn w:val="BodyText"/>
    <w:qFormat/>
    <w:rsid w:val="002B424B"/>
    <w:rPr>
      <w:b/>
    </w:rPr>
  </w:style>
  <w:style w:type="character" w:styleId="Hyperlink">
    <w:name w:val="Hyperlink"/>
    <w:basedOn w:val="DefaultParagraphFont"/>
    <w:uiPriority w:val="99"/>
    <w:unhideWhenUsed/>
    <w:rsid w:val="00217A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416</Words>
  <Characters>2588</Characters>
  <Application>Microsoft Office Word</Application>
  <DocSecurity>0</DocSecurity>
  <Lines>143</Lines>
  <Paragraphs>75</Paragraphs>
  <ScaleCrop>false</ScaleCrop>
  <Company>Author-it Software Corporation Ltd.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TLIB3118 Apply awareness of railway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2024-07-12T08:12:00Z</dcterms:created>
  <dcterms:modified xsi:type="dcterms:W3CDTF">2024-07-12T08:12:00Z</dcterms:modified>
</cp:coreProperties>
</file>