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148" w:rsidP="00903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TLIB3113 Diagnose and rectify minor faults on motive power units and rolling stock</w:t>
      </w:r>
      <w:r>
        <w:fldChar w:fldCharType="end"/>
      </w:r>
    </w:p>
    <w:p w:rsidR="00903148" w:rsidP="00903148">
      <w:pPr>
        <w:pStyle w:val="Version"/>
        <w:sectPr w:rsidSect="00E74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4A87" w:rsidP="00E74A87">
      <w:pPr>
        <w:pStyle w:val="SuperHeading"/>
      </w:pPr>
      <w:r w:rsidRPr="00E74A87">
        <w:t>TLIB3113 Diagnose and rectify minor faults on motive power units and rolling stock</w:t>
      </w:r>
    </w:p>
    <w:p w:rsidR="00000000" w:rsidRPr="00E74A87" w:rsidP="00E74A87">
      <w:pPr>
        <w:pStyle w:val="Heading1"/>
      </w:pPr>
      <w:bookmarkStart w:id="1" w:name="O_1195628"/>
      <w:bookmarkEnd w:id="1"/>
      <w:r w:rsidRPr="00E74A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A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>Release 2</w:t>
            </w:r>
            <w:r w:rsidRPr="00E74A87">
              <w:t>. This is the second release of this unit of competency in the TLI Transport and Logistics Training Package:</w:t>
            </w:r>
          </w:p>
          <w:p w:rsidR="00000000" w:rsidRPr="00E74A87" w:rsidP="00E74A87">
            <w:pPr>
              <w:pStyle w:val="ListBullet"/>
            </w:pPr>
            <w:r w:rsidRPr="00E74A87">
              <w:t>Minor statement changes in Performance Evidence</w:t>
            </w:r>
          </w:p>
          <w:p w:rsidR="00000000" w:rsidRPr="00E74A87" w:rsidP="00E74A87">
            <w:pPr>
              <w:pStyle w:val="ListBullet"/>
            </w:pPr>
            <w:r w:rsidRPr="00E74A87">
              <w:t>Minor statement changes in Knowledge Requirement</w:t>
            </w:r>
          </w:p>
          <w:p w:rsidR="00000000" w:rsidP="00E74A87">
            <w:pPr>
              <w:pStyle w:val="ListBullet"/>
              <w:rPr>
                <w:lang w:val="en-NZ"/>
              </w:rPr>
            </w:pPr>
            <w:r w:rsidRPr="00E74A87">
              <w:t>Minor statement changes in Assessment Conditions.</w:t>
            </w:r>
          </w:p>
        </w:tc>
      </w:tr>
      <w:tr w:rsidTr="00E74A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>Release 1</w:t>
            </w:r>
            <w:r w:rsidRPr="00E74A87">
              <w:t xml:space="preserve">. This is the first release of this unit of competency in the TLI Transport and Logistics Training </w:t>
            </w:r>
            <w:r w:rsidRPr="00E74A87">
              <w:t>Package.</w:t>
            </w:r>
          </w:p>
        </w:tc>
      </w:tr>
    </w:tbl>
    <w:p w:rsidR="00000000" w:rsidRPr="00E74A87" w:rsidP="00E74A87">
      <w:pPr>
        <w:pStyle w:val="NoPaddingFontSize1"/>
      </w:pPr>
    </w:p>
    <w:p w:rsidR="00000000" w:rsidRPr="00E74A87" w:rsidP="00E74A87">
      <w:pPr>
        <w:pStyle w:val="AllowPageBreak"/>
      </w:pPr>
    </w:p>
    <w:p w:rsidR="00000000" w:rsidRPr="00E74A87" w:rsidP="00E74A87">
      <w:pPr>
        <w:pStyle w:val="Heading1"/>
      </w:pPr>
      <w:bookmarkStart w:id="2" w:name="O_1195627"/>
      <w:bookmarkEnd w:id="2"/>
      <w:r w:rsidRPr="00E74A8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t>This unit involves the skills and knowledge required to identify, diagnose and rectify minor faults on motive power units and rolling stock in accordance with workplace requirements.</w:t>
            </w:r>
          </w:p>
          <w:p w:rsidR="00000000" w:rsidRPr="00E74A87" w:rsidP="00E74A87">
            <w:pPr>
              <w:pStyle w:val="BodyText"/>
            </w:pPr>
            <w:r w:rsidRPr="00E74A87">
              <w:t>It includes identifying mainten</w:t>
            </w:r>
            <w:r w:rsidRPr="00E74A87">
              <w:t>ance and/or repair requirements, conducting minor maintenance and routine repairs, checking and reporting minor maintenance and/or repairs, and providing support in accordance with workplace procedures.</w:t>
            </w:r>
          </w:p>
          <w:p w:rsidR="00000000" w:rsidRPr="00E74A87" w:rsidP="00E74A87">
            <w:pPr>
              <w:pStyle w:val="BodyText"/>
            </w:pPr>
            <w:r w:rsidRPr="00E74A87">
              <w:t>People achieving competence in this unit will need to</w:t>
            </w:r>
            <w:r w:rsidRPr="00E74A87">
              <w:t xml:space="preserve"> fulfil the applicable state/territory legislated rail safety requirements and to comply with relevant codes of practice and/or guidelines.</w:t>
            </w:r>
          </w:p>
          <w:p w:rsidR="00000000" w:rsidRPr="00E74A87" w:rsidP="00E74A87">
            <w:pPr>
              <w:pStyle w:val="BodyText"/>
            </w:pPr>
            <w:r w:rsidRPr="00E74A87">
              <w:t>Work is performed under some supervision, generally w</w:t>
            </w:r>
            <w:r w:rsidRPr="00E74A87">
              <w:t>ithin a team environment. It involves the application of routine minor fault diagnosis and rectification procedures when maintaining the safety and operation of equipment across a variety of operational rail transport contexts.</w:t>
            </w:r>
          </w:p>
          <w:p w:rsidR="00000000" w:rsidRPr="00E74A87" w:rsidP="00E74A87">
            <w:pPr>
              <w:pStyle w:val="BodyText"/>
            </w:pPr>
            <w:r w:rsidRPr="00E74A87">
              <w:t>No licensing, legislative or</w:t>
            </w:r>
            <w:r w:rsidRPr="00E74A87">
              <w:t xml:space="preserve"> certification requirements apply to this unit at the time of publication.</w:t>
            </w:r>
          </w:p>
        </w:tc>
      </w:tr>
    </w:tbl>
    <w:p w:rsidR="00903148" w:rsidP="00E74A87">
      <w:pPr>
        <w:pStyle w:val="BodyText"/>
      </w:pPr>
    </w:p>
    <w:p w:rsidR="00903148" w:rsidP="00E74A87">
      <w:pPr>
        <w:pStyle w:val="BodyText"/>
      </w:pPr>
    </w:p>
    <w:p w:rsidR="00000000" w:rsidRPr="00E74A87" w:rsidP="00E74A87">
      <w:pPr>
        <w:pStyle w:val="Heading1"/>
      </w:pPr>
      <w:bookmarkStart w:id="3" w:name="O_1195626"/>
      <w:bookmarkEnd w:id="3"/>
      <w:r w:rsidRPr="00E74A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A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t>Not applicable.</w:t>
            </w:r>
          </w:p>
        </w:tc>
      </w:tr>
    </w:tbl>
    <w:p w:rsidR="00903148" w:rsidP="00E74A87">
      <w:pPr>
        <w:pStyle w:val="NoPaddingFontSize1"/>
      </w:pPr>
    </w:p>
    <w:p w:rsidR="00903148" w:rsidP="00E74A87">
      <w:pPr>
        <w:pStyle w:val="NoPaddingFontSize1"/>
      </w:pPr>
    </w:p>
    <w:p w:rsidR="00000000" w:rsidRPr="00E74A87" w:rsidP="00E74A87">
      <w:pPr>
        <w:pStyle w:val="Heading1"/>
      </w:pPr>
      <w:bookmarkStart w:id="4" w:name="O_1195625"/>
      <w:bookmarkEnd w:id="4"/>
      <w:r w:rsidRPr="00E74A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A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t>B – Equipment Checking and Maintenance.</w:t>
            </w:r>
          </w:p>
        </w:tc>
      </w:tr>
    </w:tbl>
    <w:p w:rsidR="00903148" w:rsidP="00E74A87">
      <w:pPr>
        <w:pStyle w:val="NoPaddingFontSize1"/>
      </w:pPr>
    </w:p>
    <w:p w:rsidR="00903148" w:rsidP="00E74A87">
      <w:pPr>
        <w:pStyle w:val="NoPaddingFontSize1"/>
      </w:pPr>
    </w:p>
    <w:p w:rsidR="00000000" w:rsidRPr="00E74A87" w:rsidP="00E74A87">
      <w:pPr>
        <w:pStyle w:val="Heading1"/>
      </w:pPr>
      <w:bookmarkStart w:id="5" w:name="O_1195624"/>
      <w:bookmarkEnd w:id="5"/>
      <w:r w:rsidRPr="00E74A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A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t>Rail sector.</w:t>
            </w:r>
          </w:p>
        </w:tc>
      </w:tr>
    </w:tbl>
    <w:p w:rsidR="00903148" w:rsidP="00E74A87">
      <w:pPr>
        <w:pStyle w:val="NoPaddingFontSize1"/>
      </w:pPr>
    </w:p>
    <w:p w:rsidR="00903148" w:rsidP="00E74A87">
      <w:pPr>
        <w:pStyle w:val="NoPaddingFontSize1"/>
      </w:pPr>
    </w:p>
    <w:p w:rsidR="00000000" w:rsidRPr="00E74A87" w:rsidP="00E74A87">
      <w:pPr>
        <w:pStyle w:val="Heading1"/>
      </w:pPr>
      <w:bookmarkStart w:id="6" w:name="O_1195623"/>
      <w:bookmarkEnd w:id="6"/>
      <w:r w:rsidRPr="00E74A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1907"/>
        <w:gridCol w:w="1"/>
        <w:gridCol w:w="479"/>
        <w:gridCol w:w="6478"/>
      </w:tblGrid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PERFORMANCE CRITERIA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Performance criteria describe the performance needed to demonstrate achievement of the element.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>Identify maintenance and repair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Hazards are identified, risks are assessed and risk control measures are implemented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 xml:space="preserve">Condition of rolling stock and/or motive power unit ancillary equipment is assessed 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Faulty or damaged components or equipment are identified and assessed for component exchange or minor repair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Equipment and tools required are identified and obtained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Equipment is prepared and work areas are checked to ensure maintenance, repa</w:t>
            </w:r>
            <w:r w:rsidRPr="00E74A87">
              <w:t>ir and component exchange activities are carried out in a safe environment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Faulty or damaged components or equipment that are not able to be repaired or exchanged are reported for further maintenance in accordance with workplace procedures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>Conduc</w:t>
            </w:r>
            <w:r w:rsidRPr="00E74A87">
              <w:rPr>
                <w:rStyle w:val="SpecialBold"/>
              </w:rPr>
              <w:t>t minor maintenance and routine repairs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Minor maintenance, routine repairs and component exchange are carried out in accordance with manufacturer specifications and workplace procedures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Equipment, tools and materials required are operated, applied and handled in accordance with work health and safety (WHS)/occupational health and safety (OHS) requirements and manufacturer specifications to prevent injury and damage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rPr>
                <w:rStyle w:val="SpecialBold"/>
              </w:rPr>
              <w:t xml:space="preserve">Check and report minor maintenance and repairs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Minor maintenance, repairs and component exchange activities are checked for compliance with safety requirements and workplace procedures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>Equipment is checked to confirm it has been restored to operational standards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t xml:space="preserve">Maintenance, repair and component exchange activities are documented and filed in accordance with workplace procedures and regulatory </w:t>
            </w:r>
            <w:r w:rsidRPr="00E74A87">
              <w:t>requirements</w:t>
            </w:r>
          </w:p>
        </w:tc>
      </w:tr>
      <w:tr w:rsidTr="00903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A87">
            <w:pPr>
              <w:pStyle w:val="BodyText"/>
              <w:rPr>
                <w:lang w:val="en-NZ"/>
              </w:rPr>
            </w:pPr>
            <w:r w:rsidRPr="00E74A87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t>Work area is chec</w:t>
            </w:r>
            <w:r w:rsidRPr="00E74A87">
              <w:t>ked for cleanliness and operational safety</w:t>
            </w:r>
          </w:p>
        </w:tc>
      </w:tr>
    </w:tbl>
    <w:p w:rsidR="00903148" w:rsidP="00E74A87">
      <w:pPr>
        <w:pStyle w:val="NoPaddingFontSize1"/>
      </w:pPr>
    </w:p>
    <w:p w:rsidR="00903148" w:rsidP="00E74A87">
      <w:pPr>
        <w:pStyle w:val="NoPaddingFontSize1"/>
      </w:pPr>
    </w:p>
    <w:p w:rsidR="00000000" w:rsidRPr="00E74A87" w:rsidP="00E74A87">
      <w:pPr>
        <w:pStyle w:val="Heading1"/>
      </w:pPr>
      <w:bookmarkStart w:id="7" w:name="O_1195622"/>
      <w:bookmarkEnd w:id="7"/>
      <w:r w:rsidRPr="00E74A87">
        <w:t>Foundation Skills</w:t>
      </w:r>
    </w:p>
    <w:p w:rsidR="00903148" w:rsidP="00903148">
      <w:pPr>
        <w:pStyle w:val="BodyText"/>
      </w:pPr>
      <w:r w:rsidRPr="00E74A87">
        <w:t>Foundation skills essential to performance are explicit in the performance criteria of this unit of competency.</w:t>
      </w:r>
    </w:p>
    <w:p w:rsidR="00000000" w:rsidRPr="00E74A87" w:rsidP="00E74A87">
      <w:pPr>
        <w:pStyle w:val="Heading1"/>
      </w:pPr>
      <w:bookmarkStart w:id="8" w:name="O_1195621"/>
      <w:bookmarkEnd w:id="8"/>
      <w:r w:rsidRPr="00E74A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4A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A87" w:rsidP="00E74A87">
            <w:pPr>
              <w:pStyle w:val="BodyText"/>
            </w:pPr>
            <w:r w:rsidRPr="00E74A87">
              <w:t>Range is restricted to essential operating conditions and any other variables essential to the work environment.</w:t>
            </w:r>
          </w:p>
        </w:tc>
      </w:tr>
    </w:tbl>
    <w:p w:rsidR="00903148" w:rsidP="00E74A87">
      <w:pPr>
        <w:pStyle w:val="NoPaddingFontSize1"/>
      </w:pPr>
    </w:p>
    <w:p w:rsidR="00903148" w:rsidP="00E74A87">
      <w:pPr>
        <w:pStyle w:val="NoPaddingFontSize1"/>
      </w:pPr>
    </w:p>
    <w:p w:rsidR="00000000" w:rsidRPr="00E74A87" w:rsidP="00E74A87">
      <w:pPr>
        <w:pStyle w:val="Heading1"/>
      </w:pPr>
      <w:bookmarkStart w:id="9" w:name="O_1195620"/>
      <w:bookmarkEnd w:id="9"/>
      <w:r w:rsidRPr="00E74A87">
        <w:t>Unit Mapping Information</w:t>
      </w:r>
    </w:p>
    <w:p w:rsidR="00903148" w:rsidP="00903148">
      <w:pPr>
        <w:pStyle w:val="BodyText"/>
      </w:pPr>
      <w:r w:rsidRPr="00E74A87">
        <w:t>This unit replaces and is equivalent to TLIB3113B Diagnose and rectify minor faults on motive po</w:t>
      </w:r>
      <w:r w:rsidRPr="00E74A87">
        <w:t>wer units and rolling stock.</w:t>
      </w:r>
    </w:p>
    <w:p w:rsidR="00000000" w:rsidRPr="00E74A87" w:rsidP="00E74A87">
      <w:pPr>
        <w:pStyle w:val="Heading1"/>
      </w:pPr>
      <w:bookmarkStart w:id="10" w:name="O_1195629"/>
      <w:bookmarkEnd w:id="10"/>
      <w:r w:rsidRPr="00E74A87">
        <w:t>Links</w:t>
      </w:r>
    </w:p>
    <w:p w:rsidR="00000000" w:rsidRPr="00E74A87" w:rsidP="00903148">
      <w:pPr>
        <w:pStyle w:val="BodyText"/>
      </w:pPr>
      <w:r w:rsidRPr="00E74A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4F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4A87" w:rsidP="00E74A87"/>
    <w:sectPr w:rsidSect="00E74A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87" w:rsidRPr="00903148" w:rsidP="00903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48" w:rsidP="00E74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148" w:rsidP="00E74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03148" w:rsidP="00E74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A87" w:rsidRPr="00903148" w:rsidP="00903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48" w:rsidRPr="002D2AF8" w:rsidP="00E74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TLIB3113 Diagnose and rectify minor faults on motive power units and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03148" w:rsidP="00E74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ED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5CB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A87"/>
  </w:style>
  <w:style w:type="character" w:customStyle="1" w:styleId="Heading1Char">
    <w:name w:val="Heading 1 Char"/>
    <w:basedOn w:val="DefaultParagraphFont"/>
    <w:link w:val="Heading1"/>
    <w:rsid w:val="00E74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A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A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A87"/>
    <w:rPr>
      <w:b/>
      <w:spacing w:val="0"/>
    </w:rPr>
  </w:style>
  <w:style w:type="paragraph" w:customStyle="1" w:styleId="SuperHeading">
    <w:name w:val="SuperHeading"/>
    <w:basedOn w:val="Normal"/>
    <w:rsid w:val="00E74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4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A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A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A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A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A87"/>
    <w:rPr>
      <w:i/>
    </w:rPr>
  </w:style>
  <w:style w:type="paragraph" w:styleId="Caption">
    <w:name w:val="caption"/>
    <w:basedOn w:val="BodyText"/>
    <w:next w:val="Normal"/>
    <w:qFormat/>
    <w:rsid w:val="00E74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A87"/>
  </w:style>
  <w:style w:type="paragraph" w:styleId="TableofFigures">
    <w:name w:val="table of figures"/>
    <w:basedOn w:val="Normal"/>
    <w:next w:val="Normal"/>
    <w:semiHidden/>
    <w:rsid w:val="00E74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A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4A87"/>
    <w:rPr>
      <w:rFonts w:ascii="Wingdings" w:hAnsi="Wingdings"/>
    </w:rPr>
  </w:style>
  <w:style w:type="paragraph" w:customStyle="1" w:styleId="TableHeading">
    <w:name w:val="Table Heading"/>
    <w:basedOn w:val="HeadingBase"/>
    <w:rsid w:val="00E74A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A87"/>
    <w:rPr>
      <w:color w:val="0033CC"/>
      <w:u w:val="none"/>
    </w:rPr>
  </w:style>
  <w:style w:type="paragraph" w:customStyle="1" w:styleId="BodyTextRight">
    <w:name w:val="Body Text Right"/>
    <w:basedOn w:val="BodyText"/>
    <w:rsid w:val="00E74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A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A87"/>
    <w:rPr>
      <w:sz w:val="32"/>
    </w:rPr>
  </w:style>
  <w:style w:type="paragraph" w:customStyle="1" w:styleId="HeadingProcedure">
    <w:name w:val="Heading Procedure"/>
    <w:basedOn w:val="HeadingBase"/>
    <w:next w:val="Normal"/>
    <w:rsid w:val="00E74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A87"/>
    <w:pPr>
      <w:spacing w:before="60" w:after="60"/>
    </w:pPr>
  </w:style>
  <w:style w:type="paragraph" w:styleId="ListContinue">
    <w:name w:val="List Continue"/>
    <w:basedOn w:val="List"/>
    <w:rsid w:val="00E74A87"/>
    <w:pPr>
      <w:ind w:firstLine="0"/>
    </w:pPr>
  </w:style>
  <w:style w:type="paragraph" w:customStyle="1" w:styleId="ListNote">
    <w:name w:val="List Note"/>
    <w:basedOn w:val="List"/>
    <w:rsid w:val="00E74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A87"/>
    <w:rPr>
      <w:rFonts w:ascii="Courier New" w:hAnsi="Courier New"/>
    </w:rPr>
  </w:style>
  <w:style w:type="paragraph" w:customStyle="1" w:styleId="NoteBullet">
    <w:name w:val="Note Bullet"/>
    <w:basedOn w:val="Note"/>
    <w:rsid w:val="00E74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A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4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A87"/>
    <w:rPr>
      <w:b/>
      <w:smallCaps/>
    </w:rPr>
  </w:style>
  <w:style w:type="paragraph" w:customStyle="1" w:styleId="TableListNumber">
    <w:name w:val="Table List Number"/>
    <w:basedOn w:val="ListNumber"/>
    <w:rsid w:val="00E74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A87"/>
    <w:pPr>
      <w:numPr>
        <w:numId w:val="8"/>
      </w:numPr>
    </w:pPr>
  </w:style>
  <w:style w:type="paragraph" w:customStyle="1" w:styleId="ListAlpha2">
    <w:name w:val="List Alpha 2"/>
    <w:basedOn w:val="List2"/>
    <w:rsid w:val="00E74A87"/>
    <w:pPr>
      <w:numPr>
        <w:numId w:val="7"/>
      </w:numPr>
    </w:pPr>
  </w:style>
  <w:style w:type="paragraph" w:styleId="List2">
    <w:name w:val="List 2"/>
    <w:basedOn w:val="BodyText"/>
    <w:rsid w:val="00E74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A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A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A87"/>
    <w:pPr>
      <w:numPr>
        <w:numId w:val="3"/>
      </w:numPr>
    </w:pPr>
  </w:style>
  <w:style w:type="paragraph" w:styleId="ListContinue2">
    <w:name w:val="List Continue 2"/>
    <w:basedOn w:val="List2"/>
    <w:rsid w:val="00E74A87"/>
    <w:pPr>
      <w:ind w:firstLine="0"/>
    </w:pPr>
  </w:style>
  <w:style w:type="paragraph" w:styleId="ListContinue3">
    <w:name w:val="List Continue 3"/>
    <w:basedOn w:val="List3"/>
    <w:rsid w:val="00E74A87"/>
    <w:pPr>
      <w:ind w:left="1021" w:firstLine="0"/>
    </w:pPr>
  </w:style>
  <w:style w:type="paragraph" w:styleId="ListContinue4">
    <w:name w:val="List Continue 4"/>
    <w:basedOn w:val="List4"/>
    <w:rsid w:val="00E74A87"/>
    <w:pPr>
      <w:ind w:firstLine="0"/>
    </w:pPr>
  </w:style>
  <w:style w:type="paragraph" w:styleId="ListContinue5">
    <w:name w:val="List Continue 5"/>
    <w:basedOn w:val="List5"/>
    <w:rsid w:val="00E74A87"/>
    <w:pPr>
      <w:ind w:firstLine="0"/>
    </w:pPr>
  </w:style>
  <w:style w:type="paragraph" w:styleId="ListNumber3">
    <w:name w:val="List Number 3"/>
    <w:basedOn w:val="List3"/>
    <w:rsid w:val="00E74A87"/>
    <w:pPr>
      <w:numPr>
        <w:numId w:val="4"/>
      </w:numPr>
    </w:pPr>
  </w:style>
  <w:style w:type="paragraph" w:styleId="ListNumber4">
    <w:name w:val="List Number 4"/>
    <w:basedOn w:val="List4"/>
    <w:rsid w:val="00E74A87"/>
    <w:pPr>
      <w:numPr>
        <w:numId w:val="5"/>
      </w:numPr>
    </w:pPr>
  </w:style>
  <w:style w:type="paragraph" w:styleId="ListNumber5">
    <w:name w:val="List Number 5"/>
    <w:basedOn w:val="List5"/>
    <w:rsid w:val="00E74A87"/>
    <w:pPr>
      <w:numPr>
        <w:numId w:val="6"/>
      </w:numPr>
    </w:pPr>
  </w:style>
  <w:style w:type="paragraph" w:styleId="BlockText">
    <w:name w:val="Block Text"/>
    <w:basedOn w:val="Normal"/>
    <w:rsid w:val="00E74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A87"/>
    <w:rPr>
      <w:sz w:val="16"/>
      <w:vertAlign w:val="superscript"/>
    </w:rPr>
  </w:style>
  <w:style w:type="character" w:customStyle="1" w:styleId="Symbols">
    <w:name w:val="Symbols"/>
    <w:basedOn w:val="DefaultParagraphFont"/>
    <w:rsid w:val="00E74A87"/>
    <w:rPr>
      <w:rFonts w:ascii="Symbol" w:hAnsi="Symbol"/>
    </w:rPr>
  </w:style>
  <w:style w:type="character" w:customStyle="1" w:styleId="MenuOptions">
    <w:name w:val="Menu Options"/>
    <w:basedOn w:val="DefaultParagraphFont"/>
    <w:rsid w:val="00E74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A87"/>
    <w:rPr>
      <w:b/>
    </w:rPr>
  </w:style>
  <w:style w:type="character" w:customStyle="1" w:styleId="Underlined">
    <w:name w:val="Underlined"/>
    <w:basedOn w:val="DefaultParagraphFont"/>
    <w:rsid w:val="00E74A87"/>
    <w:rPr>
      <w:u w:val="single"/>
    </w:rPr>
  </w:style>
  <w:style w:type="paragraph" w:customStyle="1" w:styleId="TableBodyTextRight">
    <w:name w:val="Table Body Text Right"/>
    <w:basedOn w:val="TableBodyText"/>
    <w:rsid w:val="00E74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A87"/>
    <w:rPr>
      <w:sz w:val="18"/>
    </w:rPr>
  </w:style>
  <w:style w:type="paragraph" w:customStyle="1" w:styleId="BodySmallRight">
    <w:name w:val="Body Small Right"/>
    <w:basedOn w:val="BodyTextRight"/>
    <w:rsid w:val="00E74A87"/>
    <w:rPr>
      <w:sz w:val="18"/>
      <w:szCs w:val="18"/>
    </w:rPr>
  </w:style>
  <w:style w:type="paragraph" w:customStyle="1" w:styleId="MarginEdition">
    <w:name w:val="Margin Edition"/>
    <w:basedOn w:val="MarginNote"/>
    <w:rsid w:val="00E74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A87"/>
    <w:rPr>
      <w:sz w:val="2"/>
      <w:szCs w:val="2"/>
    </w:rPr>
  </w:style>
  <w:style w:type="character" w:customStyle="1" w:styleId="Small">
    <w:name w:val="Small"/>
    <w:basedOn w:val="DefaultParagraphFont"/>
    <w:rsid w:val="00E74A87"/>
    <w:rPr>
      <w:sz w:val="16"/>
    </w:rPr>
  </w:style>
  <w:style w:type="paragraph" w:customStyle="1" w:styleId="WideTable">
    <w:name w:val="Wide Table"/>
    <w:basedOn w:val="Normal"/>
    <w:rsid w:val="00E74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A87"/>
  </w:style>
  <w:style w:type="paragraph" w:styleId="Quote">
    <w:name w:val="Quote"/>
    <w:basedOn w:val="Heading1"/>
    <w:link w:val="QuoteChar"/>
    <w:qFormat/>
    <w:rsid w:val="00E74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A87"/>
    <w:pPr>
      <w:pageBreakBefore/>
    </w:pPr>
  </w:style>
  <w:style w:type="paragraph" w:customStyle="1" w:styleId="Border">
    <w:name w:val="Border"/>
    <w:basedOn w:val="Normal"/>
    <w:qFormat/>
    <w:rsid w:val="00E74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A87"/>
    <w:rPr>
      <w:u w:val="single"/>
    </w:rPr>
  </w:style>
  <w:style w:type="character" w:customStyle="1" w:styleId="BoldandItalics">
    <w:name w:val="Bold and Italics"/>
    <w:qFormat/>
    <w:rsid w:val="00E74A87"/>
    <w:rPr>
      <w:b/>
      <w:i/>
      <w:u w:val="none"/>
    </w:rPr>
  </w:style>
  <w:style w:type="paragraph" w:styleId="BalloonText">
    <w:name w:val="Balloon Text"/>
    <w:basedOn w:val="Normal"/>
    <w:link w:val="BalloonTextChar"/>
    <w:rsid w:val="00E74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A87"/>
    <w:pPr>
      <w:spacing w:before="0" w:after="0"/>
    </w:pPr>
  </w:style>
  <w:style w:type="paragraph" w:customStyle="1" w:styleId="BodyTextBold">
    <w:name w:val="Body Text Bold"/>
    <w:basedOn w:val="BodyText"/>
    <w:qFormat/>
    <w:rsid w:val="00E74A87"/>
    <w:rPr>
      <w:b/>
    </w:rPr>
  </w:style>
  <w:style w:type="character" w:styleId="Hyperlink">
    <w:name w:val="Hyperlink"/>
    <w:basedOn w:val="DefaultParagraphFont"/>
    <w:uiPriority w:val="99"/>
    <w:unhideWhenUsed/>
    <w:rsid w:val="00903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3741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TLIB3113 Diagnose and rectify minor faults on motive power units and rolling stock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