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BF1" w:rsidP="00191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TLIB3075 Inspect and prepare a motive power unit</w:t>
      </w:r>
      <w:r>
        <w:fldChar w:fldCharType="end"/>
      </w:r>
    </w:p>
    <w:p w:rsidR="00191BF1" w:rsidP="00191BF1">
      <w:pPr>
        <w:pStyle w:val="Version"/>
        <w:sectPr w:rsidSect="009D1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FDE" w:rsidP="009D1FDE">
      <w:pPr>
        <w:pStyle w:val="SuperHeading"/>
      </w:pPr>
      <w:r w:rsidRPr="009D1FDE">
        <w:t>TLIB3075 Inspect and prepare a motive power unit</w:t>
      </w:r>
    </w:p>
    <w:p w:rsidR="00000000" w:rsidRPr="009D1FDE" w:rsidP="009D1FDE">
      <w:pPr>
        <w:pStyle w:val="Heading1"/>
      </w:pPr>
      <w:bookmarkStart w:id="1" w:name="O_1195592"/>
      <w:bookmarkEnd w:id="1"/>
      <w:r w:rsidRPr="009D1F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Release 2</w:t>
            </w:r>
            <w:r w:rsidRPr="009D1FDE">
              <w:t>. This is the second release of this unit of competency in the TLI Transport and Logistics Training Package:</w:t>
            </w:r>
          </w:p>
          <w:p w:rsidR="00000000" w:rsidRPr="009D1FDE" w:rsidP="009D1FDE">
            <w:pPr>
              <w:pStyle w:val="ListBullet"/>
            </w:pPr>
            <w:r w:rsidRPr="009D1FDE">
              <w:t>Minor statement changes in Performance Evidence</w:t>
            </w:r>
          </w:p>
          <w:p w:rsidR="00000000" w:rsidRPr="009D1FDE" w:rsidP="009D1FDE">
            <w:pPr>
              <w:pStyle w:val="ListBullet"/>
            </w:pPr>
            <w:r w:rsidRPr="009D1FDE">
              <w:t>Minor statement changes in Knowledge Evidence</w:t>
            </w:r>
          </w:p>
          <w:p w:rsidR="00000000" w:rsidP="009D1FDE">
            <w:pPr>
              <w:pStyle w:val="ListBullet"/>
              <w:rPr>
                <w:lang w:val="en-NZ"/>
              </w:rPr>
            </w:pPr>
            <w:r w:rsidRPr="009D1FDE">
              <w:t>Minor stateme</w:t>
            </w:r>
            <w:r w:rsidRPr="009D1FDE">
              <w:t>nt changes in Assessment Conditions.</w:t>
            </w:r>
          </w:p>
        </w:tc>
      </w:tr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Release 1</w:t>
            </w:r>
            <w:r w:rsidRPr="009D1FDE">
              <w:t>. This is the first release of this unit of competency in the TLI Transport and Logistics Training Package.</w:t>
            </w:r>
          </w:p>
        </w:tc>
      </w:tr>
    </w:tbl>
    <w:p w:rsidR="00000000" w:rsidRPr="009D1FDE" w:rsidP="009D1FDE">
      <w:pPr>
        <w:pStyle w:val="NoPaddingFontSize1"/>
      </w:pPr>
    </w:p>
    <w:p w:rsidR="00000000" w:rsidRPr="009D1FDE" w:rsidP="009D1FDE">
      <w:pPr>
        <w:pStyle w:val="AllowPageBreak"/>
      </w:pPr>
    </w:p>
    <w:p w:rsidR="00000000" w:rsidRPr="009D1FDE" w:rsidP="009D1FDE">
      <w:pPr>
        <w:pStyle w:val="Heading1"/>
      </w:pPr>
      <w:bookmarkStart w:id="2" w:name="O_1195591"/>
      <w:bookmarkEnd w:id="2"/>
      <w:r w:rsidRPr="009D1F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This unit involves the skills and knowledge required to inspect, pre</w:t>
            </w:r>
            <w:r w:rsidRPr="009D1FDE">
              <w:t>pare and start a motive power unit in accordance with relevant workplace procedures, rail safety regulations and codes of practice.</w:t>
            </w:r>
          </w:p>
          <w:p w:rsidR="00000000" w:rsidRPr="009D1FDE" w:rsidP="009D1FDE">
            <w:pPr>
              <w:pStyle w:val="BodyText"/>
            </w:pPr>
            <w:r w:rsidRPr="009D1FDE">
              <w:t>It includes checking and preparing a motive power unit, visually examining a motive power unit, conducting in-cab checks, an</w:t>
            </w:r>
            <w:r w:rsidRPr="009D1FDE">
              <w:t xml:space="preserve">d starting and positioning a motive power unit for service in accordance with workplace requirements. </w:t>
            </w:r>
          </w:p>
          <w:p w:rsidR="00000000" w:rsidRPr="009D1FDE" w:rsidP="009D1FDE">
            <w:pPr>
              <w:pStyle w:val="BodyText"/>
            </w:pPr>
            <w:r w:rsidRPr="009D1FDE">
              <w:t>A motive power unit is a rail vehicle used to provide the power to move itself or other vehicles.</w:t>
            </w:r>
          </w:p>
          <w:p w:rsidR="00000000" w:rsidRPr="009D1FDE" w:rsidP="009D1FDE">
            <w:pPr>
              <w:pStyle w:val="BodyText"/>
            </w:pPr>
            <w:r w:rsidRPr="009D1FDE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9D1FDE" w:rsidP="009D1FDE">
            <w:pPr>
              <w:pStyle w:val="BodyText"/>
            </w:pPr>
            <w:r w:rsidRPr="009D1FDE">
              <w:t xml:space="preserve">Work is performed without supervision, generally within a team </w:t>
            </w:r>
            <w:r w:rsidRPr="009D1FDE">
              <w:t>environment.</w:t>
            </w:r>
          </w:p>
          <w:p w:rsidR="00000000" w:rsidRPr="009D1FDE" w:rsidP="009D1FDE">
            <w:pPr>
              <w:pStyle w:val="BodyText"/>
            </w:pPr>
            <w:r w:rsidRPr="009D1FDE">
              <w:t>No licensing, legislative or certification requirements apply to this unit at the time of publication.</w:t>
            </w:r>
          </w:p>
        </w:tc>
      </w:tr>
    </w:tbl>
    <w:p w:rsidR="00000000" w:rsidRPr="009D1FDE" w:rsidP="009D1FDE">
      <w:pPr>
        <w:pStyle w:val="NoPaddingFontSize1"/>
      </w:pPr>
    </w:p>
    <w:p w:rsidR="00000000" w:rsidRPr="009D1FDE" w:rsidP="009D1FDE">
      <w:pPr>
        <w:pStyle w:val="AllowPageBreak"/>
      </w:pPr>
    </w:p>
    <w:p w:rsidR="00000000" w:rsidRPr="009D1FDE" w:rsidP="009D1FDE">
      <w:pPr>
        <w:pStyle w:val="Heading1"/>
      </w:pPr>
      <w:bookmarkStart w:id="3" w:name="O_1195590"/>
      <w:bookmarkEnd w:id="3"/>
      <w:r w:rsidRPr="009D1F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Not applicable.</w:t>
            </w:r>
          </w:p>
        </w:tc>
      </w:tr>
    </w:tbl>
    <w:p w:rsidR="00000000" w:rsidRPr="009D1FDE" w:rsidP="009D1FDE">
      <w:pPr>
        <w:pStyle w:val="NoPaddingFontSize1"/>
      </w:pPr>
    </w:p>
    <w:p w:rsidR="00000000" w:rsidRPr="009D1FDE" w:rsidP="009D1FDE">
      <w:pPr>
        <w:pStyle w:val="AllowPageBreak"/>
      </w:pPr>
    </w:p>
    <w:p w:rsidR="00000000" w:rsidRPr="009D1FDE" w:rsidP="009D1FDE">
      <w:pPr>
        <w:pStyle w:val="Heading1"/>
      </w:pPr>
      <w:bookmarkStart w:id="4" w:name="O_1195589"/>
      <w:bookmarkEnd w:id="4"/>
      <w:r w:rsidRPr="009D1F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B – Equipment Checking and Maintenance.</w:t>
            </w:r>
          </w:p>
        </w:tc>
      </w:tr>
    </w:tbl>
    <w:p w:rsidR="00000000" w:rsidRPr="009D1FDE" w:rsidP="009D1FDE">
      <w:pPr>
        <w:pStyle w:val="NoPaddingFontSize1"/>
      </w:pPr>
    </w:p>
    <w:p w:rsidR="00000000" w:rsidRPr="009D1FDE" w:rsidP="009D1FDE">
      <w:pPr>
        <w:pStyle w:val="AllowPageBreak"/>
      </w:pPr>
    </w:p>
    <w:p w:rsidR="00000000" w:rsidRPr="009D1FDE" w:rsidP="009D1FDE">
      <w:pPr>
        <w:pStyle w:val="Heading1"/>
      </w:pPr>
      <w:bookmarkStart w:id="5" w:name="O_1195588"/>
      <w:bookmarkEnd w:id="5"/>
      <w:r w:rsidRPr="009D1F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Rail sector.</w:t>
            </w:r>
          </w:p>
        </w:tc>
      </w:tr>
    </w:tbl>
    <w:p w:rsidR="00000000" w:rsidRPr="009D1FDE" w:rsidP="009D1FDE">
      <w:pPr>
        <w:pStyle w:val="NoPaddingFontSize1"/>
      </w:pPr>
    </w:p>
    <w:p w:rsidR="00000000" w:rsidRPr="009D1FDE" w:rsidP="009D1FDE">
      <w:pPr>
        <w:pStyle w:val="AllowPageBreak"/>
      </w:pPr>
    </w:p>
    <w:p w:rsidR="00000000" w:rsidRPr="009D1FDE" w:rsidP="009D1FDE">
      <w:pPr>
        <w:pStyle w:val="Heading1"/>
      </w:pPr>
      <w:bookmarkStart w:id="6" w:name="O_1195587"/>
      <w:bookmarkEnd w:id="6"/>
      <w:r w:rsidRPr="009D1F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8"/>
        <w:gridCol w:w="1911"/>
        <w:gridCol w:w="1"/>
        <w:gridCol w:w="652"/>
        <w:gridCol w:w="6204"/>
      </w:tblGrid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PERFORMANCE CRITERIA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Performance criteria describe the performance needed to demonstrate achievement of the element.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Prepare for work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Roster is checked and interpreted for day’s train driving activities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 xml:space="preserve">Allocation of motive power units is checked, as required, by notices in conjunction with network control officer or roster 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Hazards are identified, risks are assessed and risk control measures are implemented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Trackside safety and basic electr</w:t>
            </w:r>
            <w:r w:rsidRPr="009D1FDE">
              <w:t>ification awareness procedures are followed, as required, while locating allocated motive power unit in the yard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inspection and preparation duties are identified and interpreted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Train schedules, notices and other operational and regulatory documentation are accessed and interpreted in accordance with workplace procedures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Communication equipment required for day’s operations is obtained and checked to ensure it is functional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Required personal protective equipment (PPE) is obtained for use prior to day’s train driving activities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to be inspected and prepared is located in the yard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Inspect and prepare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Features, fun</w:t>
            </w:r>
            <w:r w:rsidRPr="009D1FDE">
              <w:t>ctions and location of motive power unit and associated equipment are identified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Logbook is checked to confirm serviceability of unit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unit, kit and equipment are checked and defects and deficiencie</w:t>
            </w:r>
            <w:r w:rsidRPr="009D1FDE">
              <w:t xml:space="preserve">s are recorded and rectified, isolated, tagged or reported, as required, in accordance with workplace procedures and regulatory requirements 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 xml:space="preserve">Availability of appropriate fuel, lubricating oils, water, coolant and sand quantities are checked against </w:t>
            </w:r>
            <w:r w:rsidRPr="009D1FDE">
              <w:t xml:space="preserve">journey requirements, as required, </w:t>
            </w:r>
            <w:r w:rsidRPr="009D1FDE">
              <w:t xml:space="preserve">and appropriate action is taken to replenish them 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Relevant WHS/OHS and regulatory requirements are followed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Start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is started in accordance with manufacturer instructions and/or workplace procedures and operating faults are recognised, diagnosed, reported and recorded in appropriate records for follow-up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Where critical or serious equipment faul</w:t>
            </w:r>
            <w:r w:rsidRPr="009D1FDE">
              <w:t xml:space="preserve">ts cannot be readily rectified, motive power unit is shut down, faulty equipment is isolated and tagged, and problem is reported 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Instruments and gauges are observed and readings are interpreted to confirm effective operation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Act</w:t>
            </w:r>
            <w:r w:rsidRPr="009D1FDE">
              <w:t>ions are taken to determine cause of identified problem in instruments and gauges, and situation is rectified or reported, as required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Fluid levels are rechecked after starting and appropriate actions are taken, as required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Pre-departure chec</w:t>
            </w:r>
            <w:r w:rsidRPr="009D1FDE">
              <w:t>ks are carried out to ensure motive power unit is braking and powering effectively and is safe to move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is checked in correct sequence and all equipment is confirmed to be operating to optimum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Cab layout is checked and confirmed that it meets operating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Pre-departure mechanical checks are correctly performed and correct functioning of equipment confirmed in accordance with workplace procedures and manufacturer operating re</w:t>
            </w:r>
            <w:r w:rsidRPr="009D1FDE">
              <w:t>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Supervisory controls and indicators are checked to ensure they are functioning correctly and appropriate actions taken if not working correctly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Communication equipment is checked to ensure it is functioning correctly and appropriate actions are taken if not working correctly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Seat, windows, blinds, air conditioners, heaters and other personal in-cab equipment are checked and adjusted for cor</w:t>
            </w:r>
            <w:r w:rsidRPr="009D1FDE">
              <w:t>rect functionality, safety and comfort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Auxiliary equipment is checked and is confirmed to be operational in accordance with operating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Fire extinguisher and emergency toolbox are checked to confirm they are in position and meet op</w:t>
            </w:r>
            <w:r w:rsidRPr="009D1FDE">
              <w:t>erational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Required documentation concerning inspection of motive power unit is completed and processed in accordance with workplace procedures and regulatory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Logbook and other service records on the motive power unit are completed and filed in accordance with workplace procedures and regulatory requirements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rPr>
                <w:rStyle w:val="SpecialBold"/>
              </w:rPr>
              <w:t>Position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Authority to move and position motive power unit is obtained and releva</w:t>
            </w:r>
            <w:r w:rsidRPr="009D1FDE">
              <w:t>nt personnel are advised of intention and procedures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is operated in accordance with standard procedures and regulatory requirements, within operating and operational constraints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is positioned in accordance with operational requirements and directions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Motive power unit performance is monitored during operation to confirm effective operation or to identify defects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Equipment defects are identified, reported, rectified and recorded or relevant personnel are advised for assistance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t>Relevant WHS/OHS and regulatory requirements are followed to ensure safety and to prevent injury and damage</w:t>
            </w:r>
          </w:p>
        </w:tc>
      </w:tr>
      <w:tr w:rsidTr="00191B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DE">
            <w:pPr>
              <w:pStyle w:val="BodyText"/>
              <w:rPr>
                <w:lang w:val="en-NZ"/>
              </w:rPr>
            </w:pPr>
            <w:r w:rsidRPr="009D1FDE">
              <w:rPr>
                <w:rStyle w:val="SpecialBold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Network control of</w:t>
            </w:r>
            <w:r w:rsidRPr="009D1FDE">
              <w:t>ficer and other relevant personnel are advised that motive power unit is secured in the required position and is ready for service</w:t>
            </w:r>
          </w:p>
        </w:tc>
      </w:tr>
    </w:tbl>
    <w:p w:rsidR="00191BF1" w:rsidP="009D1FDE">
      <w:pPr>
        <w:pStyle w:val="NoPaddingFontSize1"/>
      </w:pPr>
    </w:p>
    <w:p w:rsidR="00191BF1" w:rsidP="009D1FDE">
      <w:pPr>
        <w:pStyle w:val="NoPaddingFontSize1"/>
      </w:pPr>
    </w:p>
    <w:p w:rsidR="00000000" w:rsidRPr="009D1FDE" w:rsidP="009D1FDE">
      <w:pPr>
        <w:pStyle w:val="Heading1"/>
      </w:pPr>
      <w:bookmarkStart w:id="7" w:name="O_1195586"/>
      <w:bookmarkEnd w:id="7"/>
      <w:r w:rsidRPr="009D1F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Foundation skills essential to performance are explicit in the performance criteria of this unit of competency.</w:t>
            </w:r>
          </w:p>
        </w:tc>
      </w:tr>
    </w:tbl>
    <w:p w:rsidR="00191BF1" w:rsidP="009D1FDE">
      <w:pPr>
        <w:pStyle w:val="NoPaddingFontSize1"/>
      </w:pPr>
    </w:p>
    <w:p w:rsidR="00191BF1" w:rsidP="009D1FDE">
      <w:pPr>
        <w:pStyle w:val="NoPaddingFontSize1"/>
      </w:pPr>
    </w:p>
    <w:p w:rsidR="00000000" w:rsidRPr="009D1FDE" w:rsidP="009D1FDE">
      <w:pPr>
        <w:pStyle w:val="Heading1"/>
      </w:pPr>
      <w:bookmarkStart w:id="8" w:name="O_1195585"/>
      <w:bookmarkEnd w:id="8"/>
      <w:r w:rsidRPr="009D1F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Range is restricted to essential operating conditions and any other variables essential to the work e</w:t>
            </w:r>
            <w:r w:rsidRPr="009D1FDE">
              <w:t>nvironment.</w:t>
            </w:r>
          </w:p>
        </w:tc>
      </w:tr>
    </w:tbl>
    <w:p w:rsidR="00191BF1" w:rsidP="009D1FDE">
      <w:pPr>
        <w:pStyle w:val="NoPaddingFontSize1"/>
      </w:pPr>
    </w:p>
    <w:p w:rsidR="00191BF1" w:rsidP="009D1FDE">
      <w:pPr>
        <w:pStyle w:val="NoPaddingFontSize1"/>
      </w:pPr>
    </w:p>
    <w:p w:rsidR="00000000" w:rsidRPr="009D1FDE" w:rsidP="009D1FDE">
      <w:pPr>
        <w:pStyle w:val="Heading1"/>
      </w:pPr>
      <w:bookmarkStart w:id="9" w:name="O_1195584"/>
      <w:bookmarkEnd w:id="9"/>
      <w:r w:rsidRPr="009D1F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DE" w:rsidP="009D1FDE">
            <w:pPr>
              <w:pStyle w:val="BodyText"/>
            </w:pPr>
            <w:r w:rsidRPr="009D1FDE">
              <w:t>This unit replaces and is equivalent to TLIB3075A Inspect and prepare a motive power unit.</w:t>
            </w:r>
          </w:p>
        </w:tc>
      </w:tr>
    </w:tbl>
    <w:p w:rsidR="00191BF1" w:rsidP="009D1FDE">
      <w:pPr>
        <w:pStyle w:val="NoPaddingFontSize1"/>
      </w:pPr>
    </w:p>
    <w:p w:rsidR="00191BF1" w:rsidP="009D1FDE">
      <w:pPr>
        <w:pStyle w:val="NoPaddingFontSize1"/>
      </w:pPr>
    </w:p>
    <w:p w:rsidR="00000000" w:rsidRPr="009D1FDE" w:rsidP="009D1FDE">
      <w:pPr>
        <w:pStyle w:val="Heading1"/>
      </w:pPr>
      <w:bookmarkStart w:id="10" w:name="O_1195593"/>
      <w:bookmarkEnd w:id="10"/>
      <w:r w:rsidRPr="009D1FDE">
        <w:t>Links</w:t>
      </w:r>
    </w:p>
    <w:p w:rsidR="00000000" w:rsidRPr="009D1FDE" w:rsidP="00191BF1">
      <w:pPr>
        <w:pStyle w:val="BodyText"/>
      </w:pPr>
      <w:r w:rsidRPr="009D1F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78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1FDE" w:rsidP="009D1FDE"/>
    <w:sectPr w:rsidSect="009D1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E" w:rsidRPr="00191BF1" w:rsidP="00191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F1" w:rsidP="009D1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BF1" w:rsidP="009D1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91BF1" w:rsidP="009D1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FDE" w:rsidRPr="00191BF1" w:rsidP="00191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BF1" w:rsidRPr="002D2AF8" w:rsidP="009D1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TLIB3075 Inspect and prepare a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91BF1" w:rsidP="009D1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60E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A9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FDE"/>
  </w:style>
  <w:style w:type="character" w:customStyle="1" w:styleId="Heading1Char">
    <w:name w:val="Heading 1 Char"/>
    <w:basedOn w:val="DefaultParagraphFont"/>
    <w:link w:val="Heading1"/>
    <w:rsid w:val="009D1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F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FDE"/>
    <w:rPr>
      <w:b/>
      <w:spacing w:val="0"/>
    </w:rPr>
  </w:style>
  <w:style w:type="paragraph" w:customStyle="1" w:styleId="SuperHeading">
    <w:name w:val="SuperHeading"/>
    <w:basedOn w:val="Normal"/>
    <w:rsid w:val="009D1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1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F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F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FDE"/>
    <w:rPr>
      <w:i/>
    </w:rPr>
  </w:style>
  <w:style w:type="paragraph" w:styleId="Caption">
    <w:name w:val="caption"/>
    <w:basedOn w:val="BodyText"/>
    <w:next w:val="Normal"/>
    <w:qFormat/>
    <w:rsid w:val="009D1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FDE"/>
  </w:style>
  <w:style w:type="paragraph" w:styleId="TableofFigures">
    <w:name w:val="table of figures"/>
    <w:basedOn w:val="Normal"/>
    <w:next w:val="Normal"/>
    <w:semiHidden/>
    <w:rsid w:val="009D1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F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FDE"/>
    <w:rPr>
      <w:rFonts w:ascii="Wingdings" w:hAnsi="Wingdings"/>
    </w:rPr>
  </w:style>
  <w:style w:type="paragraph" w:customStyle="1" w:styleId="TableHeading">
    <w:name w:val="Table Heading"/>
    <w:basedOn w:val="HeadingBase"/>
    <w:rsid w:val="009D1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FDE"/>
    <w:rPr>
      <w:color w:val="0033CC"/>
      <w:u w:val="none"/>
    </w:rPr>
  </w:style>
  <w:style w:type="paragraph" w:customStyle="1" w:styleId="BodyTextRight">
    <w:name w:val="Body Text Right"/>
    <w:basedOn w:val="BodyText"/>
    <w:rsid w:val="009D1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F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FDE"/>
    <w:rPr>
      <w:sz w:val="32"/>
    </w:rPr>
  </w:style>
  <w:style w:type="paragraph" w:customStyle="1" w:styleId="HeadingProcedure">
    <w:name w:val="Heading Procedure"/>
    <w:basedOn w:val="HeadingBase"/>
    <w:next w:val="Normal"/>
    <w:rsid w:val="009D1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FDE"/>
    <w:pPr>
      <w:spacing w:before="60" w:after="60"/>
    </w:pPr>
  </w:style>
  <w:style w:type="paragraph" w:styleId="ListContinue">
    <w:name w:val="List Continue"/>
    <w:basedOn w:val="List"/>
    <w:rsid w:val="009D1FDE"/>
    <w:pPr>
      <w:ind w:firstLine="0"/>
    </w:pPr>
  </w:style>
  <w:style w:type="paragraph" w:customStyle="1" w:styleId="ListNote">
    <w:name w:val="List Note"/>
    <w:basedOn w:val="List"/>
    <w:rsid w:val="009D1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FDE"/>
    <w:rPr>
      <w:rFonts w:ascii="Courier New" w:hAnsi="Courier New"/>
    </w:rPr>
  </w:style>
  <w:style w:type="paragraph" w:customStyle="1" w:styleId="NoteBullet">
    <w:name w:val="Note Bullet"/>
    <w:basedOn w:val="Note"/>
    <w:rsid w:val="009D1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F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FDE"/>
    <w:rPr>
      <w:b/>
      <w:smallCaps/>
    </w:rPr>
  </w:style>
  <w:style w:type="paragraph" w:customStyle="1" w:styleId="TableListNumber">
    <w:name w:val="Table List Number"/>
    <w:basedOn w:val="ListNumber"/>
    <w:rsid w:val="009D1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FDE"/>
    <w:pPr>
      <w:numPr>
        <w:numId w:val="8"/>
      </w:numPr>
    </w:pPr>
  </w:style>
  <w:style w:type="paragraph" w:customStyle="1" w:styleId="ListAlpha2">
    <w:name w:val="List Alpha 2"/>
    <w:basedOn w:val="List2"/>
    <w:rsid w:val="009D1FDE"/>
    <w:pPr>
      <w:numPr>
        <w:numId w:val="7"/>
      </w:numPr>
    </w:pPr>
  </w:style>
  <w:style w:type="paragraph" w:styleId="List2">
    <w:name w:val="List 2"/>
    <w:basedOn w:val="BodyText"/>
    <w:rsid w:val="009D1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F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F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FDE"/>
    <w:pPr>
      <w:numPr>
        <w:numId w:val="3"/>
      </w:numPr>
    </w:pPr>
  </w:style>
  <w:style w:type="paragraph" w:styleId="ListContinue2">
    <w:name w:val="List Continue 2"/>
    <w:basedOn w:val="List2"/>
    <w:rsid w:val="009D1FDE"/>
    <w:pPr>
      <w:ind w:firstLine="0"/>
    </w:pPr>
  </w:style>
  <w:style w:type="paragraph" w:styleId="ListContinue3">
    <w:name w:val="List Continue 3"/>
    <w:basedOn w:val="List3"/>
    <w:rsid w:val="009D1FDE"/>
    <w:pPr>
      <w:ind w:left="1021" w:firstLine="0"/>
    </w:pPr>
  </w:style>
  <w:style w:type="paragraph" w:styleId="ListContinue4">
    <w:name w:val="List Continue 4"/>
    <w:basedOn w:val="List4"/>
    <w:rsid w:val="009D1FDE"/>
    <w:pPr>
      <w:ind w:firstLine="0"/>
    </w:pPr>
  </w:style>
  <w:style w:type="paragraph" w:styleId="ListContinue5">
    <w:name w:val="List Continue 5"/>
    <w:basedOn w:val="List5"/>
    <w:rsid w:val="009D1FDE"/>
    <w:pPr>
      <w:ind w:firstLine="0"/>
    </w:pPr>
  </w:style>
  <w:style w:type="paragraph" w:styleId="ListNumber3">
    <w:name w:val="List Number 3"/>
    <w:basedOn w:val="List3"/>
    <w:rsid w:val="009D1FDE"/>
    <w:pPr>
      <w:numPr>
        <w:numId w:val="4"/>
      </w:numPr>
    </w:pPr>
  </w:style>
  <w:style w:type="paragraph" w:styleId="ListNumber4">
    <w:name w:val="List Number 4"/>
    <w:basedOn w:val="List4"/>
    <w:rsid w:val="009D1FDE"/>
    <w:pPr>
      <w:numPr>
        <w:numId w:val="5"/>
      </w:numPr>
    </w:pPr>
  </w:style>
  <w:style w:type="paragraph" w:styleId="ListNumber5">
    <w:name w:val="List Number 5"/>
    <w:basedOn w:val="List5"/>
    <w:rsid w:val="009D1FDE"/>
    <w:pPr>
      <w:numPr>
        <w:numId w:val="6"/>
      </w:numPr>
    </w:pPr>
  </w:style>
  <w:style w:type="paragraph" w:styleId="BlockText">
    <w:name w:val="Block Text"/>
    <w:basedOn w:val="Normal"/>
    <w:rsid w:val="009D1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FDE"/>
    <w:rPr>
      <w:sz w:val="16"/>
      <w:vertAlign w:val="superscript"/>
    </w:rPr>
  </w:style>
  <w:style w:type="character" w:customStyle="1" w:styleId="Symbols">
    <w:name w:val="Symbols"/>
    <w:basedOn w:val="DefaultParagraphFont"/>
    <w:rsid w:val="009D1FDE"/>
    <w:rPr>
      <w:rFonts w:ascii="Symbol" w:hAnsi="Symbol"/>
    </w:rPr>
  </w:style>
  <w:style w:type="character" w:customStyle="1" w:styleId="MenuOptions">
    <w:name w:val="Menu Options"/>
    <w:basedOn w:val="DefaultParagraphFont"/>
    <w:rsid w:val="009D1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FDE"/>
    <w:rPr>
      <w:b/>
    </w:rPr>
  </w:style>
  <w:style w:type="character" w:customStyle="1" w:styleId="Underlined">
    <w:name w:val="Underlined"/>
    <w:basedOn w:val="DefaultParagraphFont"/>
    <w:rsid w:val="009D1FDE"/>
    <w:rPr>
      <w:u w:val="single"/>
    </w:rPr>
  </w:style>
  <w:style w:type="paragraph" w:customStyle="1" w:styleId="TableBodyTextRight">
    <w:name w:val="Table Body Text Right"/>
    <w:basedOn w:val="TableBodyText"/>
    <w:rsid w:val="009D1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FDE"/>
    <w:rPr>
      <w:sz w:val="18"/>
    </w:rPr>
  </w:style>
  <w:style w:type="paragraph" w:customStyle="1" w:styleId="BodySmallRight">
    <w:name w:val="Body Small Right"/>
    <w:basedOn w:val="BodyTextRight"/>
    <w:rsid w:val="009D1FDE"/>
    <w:rPr>
      <w:sz w:val="18"/>
      <w:szCs w:val="18"/>
    </w:rPr>
  </w:style>
  <w:style w:type="paragraph" w:customStyle="1" w:styleId="MarginEdition">
    <w:name w:val="Margin Edition"/>
    <w:basedOn w:val="MarginNote"/>
    <w:rsid w:val="009D1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FDE"/>
    <w:rPr>
      <w:sz w:val="2"/>
      <w:szCs w:val="2"/>
    </w:rPr>
  </w:style>
  <w:style w:type="character" w:customStyle="1" w:styleId="Small">
    <w:name w:val="Small"/>
    <w:basedOn w:val="DefaultParagraphFont"/>
    <w:rsid w:val="009D1FDE"/>
    <w:rPr>
      <w:sz w:val="16"/>
    </w:rPr>
  </w:style>
  <w:style w:type="paragraph" w:customStyle="1" w:styleId="WideTable">
    <w:name w:val="Wide Table"/>
    <w:basedOn w:val="Normal"/>
    <w:rsid w:val="009D1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FDE"/>
  </w:style>
  <w:style w:type="paragraph" w:styleId="Quote">
    <w:name w:val="Quote"/>
    <w:basedOn w:val="Heading1"/>
    <w:link w:val="QuoteChar"/>
    <w:qFormat/>
    <w:rsid w:val="009D1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FDE"/>
    <w:pPr>
      <w:pageBreakBefore/>
    </w:pPr>
  </w:style>
  <w:style w:type="paragraph" w:customStyle="1" w:styleId="Border">
    <w:name w:val="Border"/>
    <w:basedOn w:val="Normal"/>
    <w:qFormat/>
    <w:rsid w:val="009D1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FDE"/>
    <w:rPr>
      <w:u w:val="single"/>
    </w:rPr>
  </w:style>
  <w:style w:type="character" w:customStyle="1" w:styleId="BoldandItalics">
    <w:name w:val="Bold and Italics"/>
    <w:qFormat/>
    <w:rsid w:val="009D1FDE"/>
    <w:rPr>
      <w:b/>
      <w:i/>
      <w:u w:val="none"/>
    </w:rPr>
  </w:style>
  <w:style w:type="paragraph" w:styleId="BalloonText">
    <w:name w:val="Balloon Text"/>
    <w:basedOn w:val="Normal"/>
    <w:link w:val="BalloonTextChar"/>
    <w:rsid w:val="009D1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FDE"/>
    <w:pPr>
      <w:spacing w:before="0" w:after="0"/>
    </w:pPr>
  </w:style>
  <w:style w:type="paragraph" w:customStyle="1" w:styleId="BodyTextBold">
    <w:name w:val="Body Text Bold"/>
    <w:basedOn w:val="BodyText"/>
    <w:qFormat/>
    <w:rsid w:val="009D1FDE"/>
    <w:rPr>
      <w:b/>
    </w:rPr>
  </w:style>
  <w:style w:type="character" w:styleId="Hyperlink">
    <w:name w:val="Hyperlink"/>
    <w:basedOn w:val="DefaultParagraphFont"/>
    <w:uiPriority w:val="99"/>
    <w:unhideWhenUsed/>
    <w:rsid w:val="00191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6537</Characters>
  <Application>Microsoft Office Word</Application>
  <DocSecurity>0</DocSecurity>
  <Lines>297</Lines>
  <Paragraphs>146</Paragraphs>
  <ScaleCrop>false</ScaleCrop>
  <Company>Author-it Software Corporation Ltd.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TLIB3075 Inspect and prepare a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