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4578" w:rsidP="006145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TLIB3048 Carry out off-site repair, overhaul and assembly of mechanical signalling equipment</w:t>
      </w:r>
      <w:r>
        <w:fldChar w:fldCharType="end"/>
      </w:r>
    </w:p>
    <w:p w:rsidR="00614578" w:rsidP="00614578">
      <w:pPr>
        <w:pStyle w:val="Version"/>
        <w:sectPr w:rsidSect="00DA22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2220" w:rsidP="00DA2220">
      <w:pPr>
        <w:pStyle w:val="SuperHeading"/>
      </w:pPr>
      <w:r w:rsidRPr="00DA2220">
        <w:t>TLIB3048 Carry out off-site repair, overhaul and assembly of mechanical signalling equipment</w:t>
      </w:r>
    </w:p>
    <w:p w:rsidR="00000000" w:rsidRPr="00DA2220" w:rsidP="00DA2220">
      <w:pPr>
        <w:pStyle w:val="Heading1"/>
      </w:pPr>
      <w:bookmarkStart w:id="1" w:name="O_749778"/>
      <w:bookmarkEnd w:id="1"/>
      <w:r w:rsidRPr="00DA2220">
        <w:t>Modification History</w:t>
      </w:r>
    </w:p>
    <w:p w:rsidR="00614578" w:rsidP="00614578">
      <w:pPr>
        <w:pStyle w:val="BodyText"/>
      </w:pPr>
      <w:r w:rsidRPr="00DA2220">
        <w:t>Release 1. This is the first release of this unit of competency in the TLI Transport and Logistics Training Package.</w:t>
      </w:r>
    </w:p>
    <w:p w:rsidR="00000000" w:rsidRPr="00DA2220" w:rsidP="00DA2220">
      <w:pPr>
        <w:pStyle w:val="Heading1"/>
      </w:pPr>
      <w:bookmarkStart w:id="2" w:name="O_749779"/>
      <w:bookmarkEnd w:id="2"/>
      <w:r w:rsidRPr="00DA222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14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220" w:rsidP="00DA2220">
            <w:pPr>
              <w:pStyle w:val="BodyText"/>
            </w:pPr>
            <w:r w:rsidRPr="00DA2220">
              <w:t xml:space="preserve">This unit involves the skills and knowledge required to carry out off-site repair, overhaul and assembly of mechanical signalling equipment in accordance with safeworking and regulatory requirements, and workplace procedures. </w:t>
            </w:r>
          </w:p>
          <w:p w:rsidR="00000000" w:rsidRPr="00DA2220" w:rsidP="00DA2220">
            <w:pPr>
              <w:pStyle w:val="BodyText"/>
            </w:pPr>
            <w:r w:rsidRPr="00DA2220">
              <w:t>I</w:t>
            </w:r>
            <w:r w:rsidRPr="00DA2220">
              <w:t xml:space="preserve">t includes assessing equipment condition, replacing out-of-specification components, producing components as required, assembling components, and testing and adjusting equipment to ensure overall system integrity. </w:t>
            </w:r>
          </w:p>
          <w:p w:rsidR="00000000" w:rsidRPr="00DA2220" w:rsidP="00DA2220">
            <w:pPr>
              <w:pStyle w:val="BodyText"/>
            </w:pPr>
            <w:r w:rsidRPr="00DA2220">
              <w:t xml:space="preserve">People achieving competence in this unit </w:t>
            </w:r>
            <w:r w:rsidRPr="00DA2220">
              <w:t>will need to fulfil the applicable state/territory legislated rail safety requirements and to comply with relevant codes of practice and/or guidelines.</w:t>
            </w:r>
          </w:p>
          <w:p w:rsidR="00000000" w:rsidRPr="00DA2220" w:rsidP="00DA2220">
            <w:pPr>
              <w:pStyle w:val="BodyText"/>
            </w:pPr>
            <w:r w:rsidRPr="00DA2220">
              <w:t>Work is performed under minimal supervision, generally within a team environment. It involves the applic</w:t>
            </w:r>
            <w:r w:rsidRPr="00DA2220">
              <w:t>ation of routine operational principles and procedures to the off-site repair, overhaul and assembly of mechanical signalling equipment, as part of workplace activities across a variety of operational contexts within the Australian rail system.</w:t>
            </w:r>
          </w:p>
          <w:p w:rsidR="00000000" w:rsidRPr="00DA2220" w:rsidP="00DA2220">
            <w:pPr>
              <w:pStyle w:val="BodyText"/>
            </w:pPr>
            <w:r w:rsidRPr="00DA2220">
              <w:t>No licensin</w:t>
            </w:r>
            <w:r w:rsidRPr="00DA2220">
              <w:t>g, legislative or certification requirements apply to this unit at the time of publication.</w:t>
            </w:r>
          </w:p>
        </w:tc>
      </w:tr>
    </w:tbl>
    <w:p w:rsidR="00614578" w:rsidP="00DA2220">
      <w:pPr>
        <w:pStyle w:val="BodyText"/>
      </w:pPr>
    </w:p>
    <w:p w:rsidR="00614578" w:rsidP="00DA2220">
      <w:pPr>
        <w:pStyle w:val="BodyText"/>
      </w:pPr>
    </w:p>
    <w:p w:rsidR="00000000" w:rsidRPr="00DA2220" w:rsidP="00DA2220">
      <w:pPr>
        <w:pStyle w:val="Heading1"/>
      </w:pPr>
      <w:bookmarkStart w:id="3" w:name="O_749780"/>
      <w:bookmarkEnd w:id="3"/>
      <w:r w:rsidRPr="00DA2220">
        <w:t>Pre-requisite Unit</w:t>
      </w:r>
    </w:p>
    <w:p w:rsidR="00000000" w:rsidRPr="00DA2220" w:rsidP="00614578">
      <w:pPr>
        <w:pStyle w:val="BodyText"/>
      </w:pPr>
      <w:r w:rsidRPr="00DA2220">
        <w:t>Not applicable.</w:t>
      </w:r>
    </w:p>
    <w:p w:rsidR="00000000" w:rsidRPr="00DA2220" w:rsidP="00DA2220">
      <w:pPr>
        <w:pStyle w:val="Heading1"/>
      </w:pPr>
      <w:bookmarkStart w:id="4" w:name="O_749781"/>
      <w:bookmarkEnd w:id="4"/>
      <w:r w:rsidRPr="00DA2220">
        <w:t>Competency Field</w:t>
      </w:r>
    </w:p>
    <w:p w:rsidR="00614578" w:rsidP="00614578">
      <w:pPr>
        <w:pStyle w:val="BodyText"/>
      </w:pPr>
      <w:r w:rsidRPr="00DA2220">
        <w:t>B – Equipment Checking and Maintenance</w:t>
      </w:r>
    </w:p>
    <w:p w:rsidR="00000000" w:rsidRPr="00DA2220" w:rsidP="00DA2220">
      <w:pPr>
        <w:pStyle w:val="Heading1"/>
      </w:pPr>
      <w:bookmarkStart w:id="5" w:name="O_749782"/>
      <w:bookmarkEnd w:id="5"/>
      <w:r w:rsidRPr="00DA2220">
        <w:t>Unit Sector</w:t>
      </w:r>
    </w:p>
    <w:p w:rsidR="00000000" w:rsidRPr="00DA2220" w:rsidP="00614578">
      <w:pPr>
        <w:pStyle w:val="BodyText"/>
      </w:pPr>
      <w:r w:rsidRPr="00DA2220">
        <w:t>Not applicable.</w:t>
      </w:r>
    </w:p>
    <w:p w:rsidR="00000000" w:rsidRPr="00DA2220" w:rsidP="00DA2220">
      <w:pPr>
        <w:pStyle w:val="Heading1"/>
      </w:pPr>
      <w:bookmarkStart w:id="6" w:name="O_749783"/>
      <w:bookmarkEnd w:id="6"/>
      <w:r w:rsidRPr="00DA222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1"/>
        <w:gridCol w:w="549"/>
        <w:gridCol w:w="6560"/>
      </w:tblGrid>
      <w:tr w:rsidTr="00614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220" w:rsidP="00DA2220">
            <w:pPr>
              <w:pStyle w:val="BodyText"/>
            </w:pPr>
            <w:r w:rsidRPr="00DA222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rPr>
                <w:rStyle w:val="SpecialBold"/>
              </w:rPr>
              <w:t>PERFORMANCE CRITERIA</w:t>
            </w:r>
          </w:p>
        </w:tc>
      </w:tr>
      <w:tr w:rsidTr="00614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Performance criteria describe the performance needed to demonstrate achievement of the element.</w:t>
            </w:r>
          </w:p>
        </w:tc>
      </w:tr>
      <w:tr w:rsidTr="00614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220" w:rsidP="00DA2220">
            <w:pPr>
              <w:pStyle w:val="BodyText"/>
            </w:pPr>
            <w:r w:rsidRPr="00DA222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rPr>
                <w:rStyle w:val="SpecialBold"/>
              </w:rPr>
              <w:t>Assess equipm</w:t>
            </w:r>
            <w:r w:rsidRPr="00DA2220">
              <w:rPr>
                <w:rStyle w:val="SpecialBold"/>
              </w:rPr>
              <w:t>ent condition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Equipment condition is established through tagged repair sheets from the field and initial examination</w:t>
            </w:r>
          </w:p>
        </w:tc>
      </w:tr>
      <w:tr w:rsidTr="00614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Condition of all out-of-tolerance equipment and components is correctly identified and recorded through detailed inspection and testing</w:t>
            </w:r>
          </w:p>
        </w:tc>
      </w:tr>
      <w:tr w:rsidTr="00614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Type and extent of required repairs are evaluated to determine viability of repair operations and to estimate tim</w:t>
            </w:r>
            <w:r w:rsidRPr="00DA2220">
              <w:t>e requirements</w:t>
            </w:r>
          </w:p>
        </w:tc>
      </w:tr>
      <w:tr w:rsidTr="00614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Components requiring disposal are identified and replacement components are arranged to allow work to commence</w:t>
            </w:r>
          </w:p>
        </w:tc>
      </w:tr>
      <w:tr w:rsidTr="00614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220" w:rsidP="00DA2220">
            <w:pPr>
              <w:pStyle w:val="BodyText"/>
            </w:pPr>
            <w:r w:rsidRPr="00DA222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rPr>
                <w:rStyle w:val="SpecialBold"/>
              </w:rPr>
              <w:t>Replace components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Equipment is dismantled to the extent required to carry out previously identified repairs</w:t>
            </w:r>
          </w:p>
        </w:tc>
      </w:tr>
      <w:tr w:rsidTr="00614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Components requiring replacement are stored for later repair/disposed of in line with organisational requirements</w:t>
            </w:r>
          </w:p>
        </w:tc>
      </w:tr>
      <w:tr w:rsidTr="00614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Components are replaced/repaired/returned to operational condition in line with technical specifications and standard workshop practice</w:t>
            </w:r>
            <w:r w:rsidRPr="00DA2220">
              <w:t>s</w:t>
            </w:r>
          </w:p>
        </w:tc>
      </w:tr>
      <w:tr w:rsidTr="00614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220" w:rsidP="00DA2220">
            <w:pPr>
              <w:pStyle w:val="BodyText"/>
            </w:pPr>
            <w:r w:rsidRPr="00DA222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rPr>
                <w:rStyle w:val="SpecialBold"/>
              </w:rPr>
              <w:t>Produce components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Components are produced to comply with the defined job requirements and technical specifications</w:t>
            </w:r>
          </w:p>
        </w:tc>
      </w:tr>
      <w:tr w:rsidTr="00614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Appropriate manufacturing/workshop techniques are applied to ensure required quality components are produced</w:t>
            </w:r>
          </w:p>
        </w:tc>
      </w:tr>
      <w:tr w:rsidTr="00614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220" w:rsidP="00DA2220">
            <w:pPr>
              <w:pStyle w:val="BodyText"/>
            </w:pPr>
            <w:r w:rsidRPr="00DA222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rPr>
                <w:rStyle w:val="SpecialBold"/>
              </w:rPr>
              <w:t>Assemble components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Assembly methods and sequencing are planned to ensure efficient operations</w:t>
            </w:r>
          </w:p>
        </w:tc>
      </w:tr>
      <w:tr w:rsidTr="00614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Components are laid out for assembly in accordance with planned processes</w:t>
            </w:r>
          </w:p>
        </w:tc>
      </w:tr>
      <w:tr w:rsidTr="00614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Assembly of all components, sub-assemblies and equipment is correctly carried out in accordance with planned operations, and job and technical specifications</w:t>
            </w:r>
          </w:p>
        </w:tc>
      </w:tr>
      <w:tr w:rsidTr="00614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Securing methods and operations are carried out in accordance with job and technical specif</w:t>
            </w:r>
            <w:r w:rsidRPr="00DA2220">
              <w:t>ications</w:t>
            </w:r>
          </w:p>
        </w:tc>
      </w:tr>
      <w:tr w:rsidTr="00614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220" w:rsidP="00DA2220">
            <w:pPr>
              <w:pStyle w:val="BodyText"/>
            </w:pPr>
            <w:r w:rsidRPr="00DA2220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rPr>
                <w:rStyle w:val="SpecialBold"/>
              </w:rPr>
              <w:t>Test and adjust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Equipment functions are tested to ensure conformance to drawings and specifications</w:t>
            </w:r>
          </w:p>
        </w:tc>
      </w:tr>
      <w:tr w:rsidTr="00614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Assembly and joining/securing processes and outcomes are checked and tested as required to match the job and technical specifications</w:t>
            </w:r>
          </w:p>
        </w:tc>
      </w:tr>
      <w:tr w:rsidTr="00614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Adjustments are made to ensure all equipment operations meet the technical specifications</w:t>
            </w:r>
          </w:p>
        </w:tc>
      </w:tr>
      <w:tr w:rsidTr="00614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Operational/functional compliance to the job and technical specifications is confirmed and certified</w:t>
            </w:r>
          </w:p>
        </w:tc>
      </w:tr>
      <w:tr w:rsidTr="006145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2220">
            <w:pPr>
              <w:pStyle w:val="BodyText"/>
              <w:rPr>
                <w:lang w:val="en-NZ"/>
              </w:rPr>
            </w:pPr>
            <w:r w:rsidRPr="00DA2220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2220" w:rsidP="00DA2220">
            <w:pPr>
              <w:pStyle w:val="BodyText"/>
            </w:pPr>
            <w:r w:rsidRPr="00DA2220">
              <w:t>Required documentation is correctly completed and forwarded to appropriate personnel to confirm the equipment is certified for use</w:t>
            </w:r>
          </w:p>
        </w:tc>
      </w:tr>
    </w:tbl>
    <w:p w:rsidR="00614578" w:rsidP="00DA2220">
      <w:pPr>
        <w:pStyle w:val="BodyText"/>
      </w:pPr>
    </w:p>
    <w:p w:rsidR="00614578" w:rsidP="00DA2220">
      <w:pPr>
        <w:pStyle w:val="BodyText"/>
      </w:pPr>
    </w:p>
    <w:p w:rsidR="00000000" w:rsidRPr="00DA2220" w:rsidP="00DA2220">
      <w:pPr>
        <w:pStyle w:val="Heading1"/>
      </w:pPr>
      <w:bookmarkStart w:id="7" w:name="O_749784"/>
      <w:bookmarkEnd w:id="7"/>
      <w:r w:rsidRPr="00DA2220">
        <w:t>Foundation Skills</w:t>
      </w:r>
    </w:p>
    <w:p w:rsidR="00614578" w:rsidP="00614578">
      <w:pPr>
        <w:pStyle w:val="BodyText"/>
      </w:pPr>
      <w:r w:rsidRPr="00DA2220">
        <w:t>Foundation skills essential to performance are explicit in the performance criteria of this unit of competency.</w:t>
      </w:r>
    </w:p>
    <w:p w:rsidR="00000000" w:rsidRPr="00DA2220" w:rsidP="00DA2220">
      <w:pPr>
        <w:pStyle w:val="Heading1"/>
      </w:pPr>
      <w:bookmarkStart w:id="8" w:name="O_749785"/>
      <w:bookmarkEnd w:id="8"/>
      <w:r w:rsidRPr="00DA2220">
        <w:t>Range of Conditions</w:t>
      </w:r>
    </w:p>
    <w:p w:rsidR="00000000" w:rsidRPr="00DA2220" w:rsidP="00614578">
      <w:pPr>
        <w:pStyle w:val="BodyText"/>
      </w:pPr>
      <w:r w:rsidRPr="00DA2220">
        <w:t>Range is restricted to essential operating conditions and any other variables essenti</w:t>
      </w:r>
      <w:r w:rsidRPr="00DA2220">
        <w:t>al to the work environment.</w:t>
      </w:r>
    </w:p>
    <w:p w:rsidR="00614578" w:rsidP="00614578">
      <w:pPr>
        <w:pStyle w:val="BodyText"/>
      </w:pPr>
      <w:r w:rsidRPr="00DA2220">
        <w:t>Non-essential conditions can be found in the Companion Volume Implementation Guide.</w:t>
      </w:r>
    </w:p>
    <w:p w:rsidR="00000000" w:rsidRPr="00DA2220" w:rsidP="00DA2220">
      <w:pPr>
        <w:pStyle w:val="Heading1"/>
      </w:pPr>
      <w:bookmarkStart w:id="9" w:name="O_749786"/>
      <w:bookmarkEnd w:id="9"/>
      <w:r w:rsidRPr="00DA2220">
        <w:t>Unit Mapping Information</w:t>
      </w:r>
    </w:p>
    <w:p w:rsidR="00614578" w:rsidP="00614578">
      <w:pPr>
        <w:pStyle w:val="BodyText"/>
      </w:pPr>
      <w:r w:rsidRPr="00DA2220">
        <w:t>This unit replaces and is equivalent to TLIB3048A Carry out off-site repair, overhaul and assembly of mechanical signalling equipment.</w:t>
      </w:r>
    </w:p>
    <w:p w:rsidR="00000000" w:rsidRPr="00DA2220" w:rsidP="00DA2220">
      <w:pPr>
        <w:pStyle w:val="Heading1"/>
      </w:pPr>
      <w:bookmarkStart w:id="10" w:name="O_749793"/>
      <w:bookmarkEnd w:id="10"/>
      <w:r w:rsidRPr="00DA2220">
        <w:t>Links</w:t>
      </w:r>
    </w:p>
    <w:p w:rsidR="00000000" w:rsidRPr="00DA2220" w:rsidP="00614578">
      <w:pPr>
        <w:pStyle w:val="BodyText"/>
      </w:pPr>
      <w:r w:rsidRPr="00DA22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D6E9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A2220" w:rsidP="00DA2220"/>
    <w:sectPr w:rsidSect="00DA22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20" w:rsidRPr="00614578" w:rsidP="006145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78" w:rsidP="00DA22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4578" w:rsidP="00DA22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14578" w:rsidP="00DA22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2220" w:rsidRPr="00614578" w:rsidP="006145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2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78" w:rsidRPr="002D2AF8" w:rsidP="00DA22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TLIB3048 Carry out off-site repair, overhaul and assembly of mechanical signalling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14578" w:rsidP="00DA22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2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22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22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22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22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22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22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22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22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22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22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2220"/>
  </w:style>
  <w:style w:type="character" w:customStyle="1" w:styleId="Heading1Char">
    <w:name w:val="Heading 1 Char"/>
    <w:basedOn w:val="DefaultParagraphFont"/>
    <w:link w:val="Heading1"/>
    <w:rsid w:val="00DA22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22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222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A2220"/>
    <w:rPr>
      <w:b/>
      <w:spacing w:val="0"/>
    </w:rPr>
  </w:style>
  <w:style w:type="paragraph" w:customStyle="1" w:styleId="SuperHeading">
    <w:name w:val="SuperHeading"/>
    <w:basedOn w:val="Normal"/>
    <w:rsid w:val="00DA22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22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22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22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22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2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2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2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2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22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22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22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22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22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22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22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22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22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22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22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22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222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22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22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22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22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222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22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22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22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22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22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22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22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22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22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2220"/>
    <w:rPr>
      <w:i/>
    </w:rPr>
  </w:style>
  <w:style w:type="paragraph" w:styleId="Caption">
    <w:name w:val="caption"/>
    <w:basedOn w:val="BodyText"/>
    <w:next w:val="Normal"/>
    <w:qFormat/>
    <w:rsid w:val="00DA22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22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22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2220"/>
  </w:style>
  <w:style w:type="paragraph" w:styleId="TableofFigures">
    <w:name w:val="table of figures"/>
    <w:basedOn w:val="Normal"/>
    <w:next w:val="Normal"/>
    <w:semiHidden/>
    <w:rsid w:val="00DA22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222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A2220"/>
    <w:rPr>
      <w:rFonts w:ascii="Wingdings" w:hAnsi="Wingdings"/>
    </w:rPr>
  </w:style>
  <w:style w:type="paragraph" w:customStyle="1" w:styleId="TableHeading">
    <w:name w:val="Table Heading"/>
    <w:basedOn w:val="HeadingBase"/>
    <w:rsid w:val="00DA22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2220"/>
    <w:rPr>
      <w:color w:val="0033CC"/>
      <w:u w:val="none"/>
    </w:rPr>
  </w:style>
  <w:style w:type="paragraph" w:customStyle="1" w:styleId="BodyTextRight">
    <w:name w:val="Body Text Right"/>
    <w:basedOn w:val="BodyText"/>
    <w:rsid w:val="00DA22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22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22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22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22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22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2220"/>
    <w:rPr>
      <w:sz w:val="32"/>
    </w:rPr>
  </w:style>
  <w:style w:type="paragraph" w:customStyle="1" w:styleId="HeadingProcedure">
    <w:name w:val="Heading Procedure"/>
    <w:basedOn w:val="HeadingBase"/>
    <w:next w:val="Normal"/>
    <w:rsid w:val="00DA22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2220"/>
    <w:pPr>
      <w:spacing w:before="60" w:after="60"/>
    </w:pPr>
  </w:style>
  <w:style w:type="paragraph" w:styleId="ListContinue">
    <w:name w:val="List Continue"/>
    <w:basedOn w:val="List"/>
    <w:rsid w:val="00DA2220"/>
    <w:pPr>
      <w:ind w:firstLine="0"/>
    </w:pPr>
  </w:style>
  <w:style w:type="paragraph" w:customStyle="1" w:styleId="ListNote">
    <w:name w:val="List Note"/>
    <w:basedOn w:val="List"/>
    <w:rsid w:val="00DA22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22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22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2220"/>
    <w:rPr>
      <w:rFonts w:ascii="Courier New" w:hAnsi="Courier New"/>
    </w:rPr>
  </w:style>
  <w:style w:type="paragraph" w:customStyle="1" w:styleId="NoteBullet">
    <w:name w:val="Note Bullet"/>
    <w:basedOn w:val="Note"/>
    <w:rsid w:val="00DA22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22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22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22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222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A22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22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2220"/>
    <w:rPr>
      <w:b/>
      <w:smallCaps/>
    </w:rPr>
  </w:style>
  <w:style w:type="paragraph" w:customStyle="1" w:styleId="TableListNumber">
    <w:name w:val="Table List Number"/>
    <w:basedOn w:val="ListNumber"/>
    <w:rsid w:val="00DA22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22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2220"/>
    <w:pPr>
      <w:numPr>
        <w:numId w:val="7"/>
      </w:numPr>
    </w:pPr>
  </w:style>
  <w:style w:type="paragraph" w:customStyle="1" w:styleId="ListAlpha2">
    <w:name w:val="List Alpha 2"/>
    <w:basedOn w:val="List2"/>
    <w:rsid w:val="00DA2220"/>
    <w:pPr>
      <w:numPr>
        <w:numId w:val="6"/>
      </w:numPr>
    </w:pPr>
  </w:style>
  <w:style w:type="paragraph" w:styleId="List2">
    <w:name w:val="List 2"/>
    <w:basedOn w:val="BodyText"/>
    <w:rsid w:val="00DA22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22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22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22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222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22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2220"/>
    <w:pPr>
      <w:numPr>
        <w:numId w:val="2"/>
      </w:numPr>
    </w:pPr>
  </w:style>
  <w:style w:type="paragraph" w:styleId="ListContinue2">
    <w:name w:val="List Continue 2"/>
    <w:basedOn w:val="List2"/>
    <w:rsid w:val="00DA2220"/>
    <w:pPr>
      <w:ind w:firstLine="0"/>
    </w:pPr>
  </w:style>
  <w:style w:type="paragraph" w:styleId="ListContinue3">
    <w:name w:val="List Continue 3"/>
    <w:basedOn w:val="List3"/>
    <w:rsid w:val="00DA2220"/>
    <w:pPr>
      <w:ind w:left="1021" w:firstLine="0"/>
    </w:pPr>
  </w:style>
  <w:style w:type="paragraph" w:styleId="ListContinue4">
    <w:name w:val="List Continue 4"/>
    <w:basedOn w:val="List4"/>
    <w:rsid w:val="00DA2220"/>
    <w:pPr>
      <w:ind w:firstLine="0"/>
    </w:pPr>
  </w:style>
  <w:style w:type="paragraph" w:styleId="ListContinue5">
    <w:name w:val="List Continue 5"/>
    <w:basedOn w:val="List5"/>
    <w:rsid w:val="00DA2220"/>
    <w:pPr>
      <w:ind w:firstLine="0"/>
    </w:pPr>
  </w:style>
  <w:style w:type="paragraph" w:styleId="ListNumber3">
    <w:name w:val="List Number 3"/>
    <w:basedOn w:val="List3"/>
    <w:rsid w:val="00DA2220"/>
    <w:pPr>
      <w:numPr>
        <w:numId w:val="3"/>
      </w:numPr>
    </w:pPr>
  </w:style>
  <w:style w:type="paragraph" w:styleId="ListNumber4">
    <w:name w:val="List Number 4"/>
    <w:basedOn w:val="List4"/>
    <w:rsid w:val="00DA2220"/>
    <w:pPr>
      <w:numPr>
        <w:numId w:val="4"/>
      </w:numPr>
    </w:pPr>
  </w:style>
  <w:style w:type="paragraph" w:styleId="ListNumber5">
    <w:name w:val="List Number 5"/>
    <w:basedOn w:val="List5"/>
    <w:rsid w:val="00DA2220"/>
    <w:pPr>
      <w:numPr>
        <w:numId w:val="5"/>
      </w:numPr>
    </w:pPr>
  </w:style>
  <w:style w:type="paragraph" w:styleId="BlockText">
    <w:name w:val="Block Text"/>
    <w:basedOn w:val="Normal"/>
    <w:rsid w:val="00DA22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22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2220"/>
    <w:rPr>
      <w:sz w:val="16"/>
      <w:vertAlign w:val="superscript"/>
    </w:rPr>
  </w:style>
  <w:style w:type="character" w:customStyle="1" w:styleId="Symbols">
    <w:name w:val="Symbols"/>
    <w:basedOn w:val="DefaultParagraphFont"/>
    <w:rsid w:val="00DA2220"/>
    <w:rPr>
      <w:rFonts w:ascii="Symbol" w:hAnsi="Symbol"/>
    </w:rPr>
  </w:style>
  <w:style w:type="character" w:customStyle="1" w:styleId="MenuOptions">
    <w:name w:val="Menu Options"/>
    <w:basedOn w:val="DefaultParagraphFont"/>
    <w:rsid w:val="00DA22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2220"/>
    <w:rPr>
      <w:b/>
    </w:rPr>
  </w:style>
  <w:style w:type="character" w:customStyle="1" w:styleId="Underlined">
    <w:name w:val="Underlined"/>
    <w:basedOn w:val="DefaultParagraphFont"/>
    <w:rsid w:val="00DA2220"/>
    <w:rPr>
      <w:u w:val="single"/>
    </w:rPr>
  </w:style>
  <w:style w:type="paragraph" w:customStyle="1" w:styleId="TableBodyTextRight">
    <w:name w:val="Table Body Text Right"/>
    <w:basedOn w:val="TableBodyText"/>
    <w:rsid w:val="00DA22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2220"/>
    <w:rPr>
      <w:sz w:val="18"/>
    </w:rPr>
  </w:style>
  <w:style w:type="paragraph" w:customStyle="1" w:styleId="BodySmallRight">
    <w:name w:val="Body Small Right"/>
    <w:basedOn w:val="BodyTextRight"/>
    <w:rsid w:val="00DA2220"/>
    <w:rPr>
      <w:sz w:val="18"/>
      <w:szCs w:val="18"/>
    </w:rPr>
  </w:style>
  <w:style w:type="paragraph" w:customStyle="1" w:styleId="MarginEdition">
    <w:name w:val="Margin Edition"/>
    <w:basedOn w:val="MarginNote"/>
    <w:rsid w:val="00DA22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2220"/>
    <w:rPr>
      <w:sz w:val="2"/>
      <w:szCs w:val="2"/>
    </w:rPr>
  </w:style>
  <w:style w:type="character" w:customStyle="1" w:styleId="Small">
    <w:name w:val="Small"/>
    <w:basedOn w:val="DefaultParagraphFont"/>
    <w:rsid w:val="00DA2220"/>
    <w:rPr>
      <w:sz w:val="16"/>
    </w:rPr>
  </w:style>
  <w:style w:type="paragraph" w:customStyle="1" w:styleId="WideTable">
    <w:name w:val="Wide Table"/>
    <w:basedOn w:val="Normal"/>
    <w:rsid w:val="00DA22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2220"/>
  </w:style>
  <w:style w:type="paragraph" w:styleId="Quote">
    <w:name w:val="Quote"/>
    <w:basedOn w:val="Heading1"/>
    <w:link w:val="QuoteChar"/>
    <w:qFormat/>
    <w:rsid w:val="00DA22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22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2220"/>
    <w:pPr>
      <w:pageBreakBefore/>
    </w:pPr>
  </w:style>
  <w:style w:type="paragraph" w:customStyle="1" w:styleId="Border">
    <w:name w:val="Border"/>
    <w:basedOn w:val="Normal"/>
    <w:qFormat/>
    <w:rsid w:val="00DA22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22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2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2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22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22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22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22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22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2220"/>
    <w:rPr>
      <w:u w:val="single"/>
    </w:rPr>
  </w:style>
  <w:style w:type="character" w:customStyle="1" w:styleId="BoldandItalics">
    <w:name w:val="Bold and Italics"/>
    <w:qFormat/>
    <w:rsid w:val="00DA2220"/>
    <w:rPr>
      <w:b/>
      <w:i/>
      <w:u w:val="none"/>
    </w:rPr>
  </w:style>
  <w:style w:type="paragraph" w:styleId="BalloonText">
    <w:name w:val="Balloon Text"/>
    <w:basedOn w:val="Normal"/>
    <w:link w:val="BalloonTextChar"/>
    <w:rsid w:val="00DA22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22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22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22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22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22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2220"/>
    <w:pPr>
      <w:spacing w:before="0" w:after="0"/>
    </w:pPr>
  </w:style>
  <w:style w:type="paragraph" w:customStyle="1" w:styleId="BodyTextBold">
    <w:name w:val="Body Text Bold"/>
    <w:basedOn w:val="BodyText"/>
    <w:qFormat/>
    <w:rsid w:val="00DA2220"/>
    <w:rPr>
      <w:b/>
    </w:rPr>
  </w:style>
  <w:style w:type="character" w:styleId="Hyperlink">
    <w:name w:val="Hyperlink"/>
    <w:basedOn w:val="DefaultParagraphFont"/>
    <w:uiPriority w:val="99"/>
    <w:unhideWhenUsed/>
    <w:rsid w:val="006145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639</Words>
  <Characters>4163</Characters>
  <Application>Microsoft Office Word</Application>
  <DocSecurity>0</DocSecurity>
  <Lines>160</Lines>
  <Paragraphs>92</Paragraphs>
  <ScaleCrop>false</ScaleCrop>
  <Company>Author-it Software Corporation Ltd.</Company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TLIB3048 Carry out off-site repair, overhaul and assembly of mechanical signalling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2024-07-12T08:07:00Z</dcterms:created>
  <dcterms:modified xsi:type="dcterms:W3CDTF">2024-07-12T08:07:00Z</dcterms:modified>
</cp:coreProperties>
</file>