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1D2" w:rsidP="002B6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TLIB3046 Service and clean mechanical signalling equipment and infrastructure</w:t>
      </w:r>
      <w:r>
        <w:fldChar w:fldCharType="end"/>
      </w:r>
    </w:p>
    <w:p w:rsidR="002B61D2" w:rsidP="002B61D2">
      <w:pPr>
        <w:pStyle w:val="Version"/>
        <w:sectPr w:rsidSect="00FD28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8C3" w:rsidP="00FD28C3">
      <w:pPr>
        <w:pStyle w:val="SuperHeading"/>
      </w:pPr>
      <w:r w:rsidRPr="00FD28C3">
        <w:t>TLIB3046 Service and clean mechanical signalling equipment and infrastructure</w:t>
      </w:r>
    </w:p>
    <w:p w:rsidR="00000000" w:rsidRPr="00FD28C3" w:rsidP="00FD28C3">
      <w:pPr>
        <w:pStyle w:val="Heading1"/>
      </w:pPr>
      <w:bookmarkStart w:id="1" w:name="O_749740"/>
      <w:bookmarkEnd w:id="1"/>
      <w:r w:rsidRPr="00FD28C3">
        <w:t>Modification History</w:t>
      </w:r>
    </w:p>
    <w:p w:rsidR="002B61D2" w:rsidP="002B61D2">
      <w:pPr>
        <w:pStyle w:val="BodyText"/>
      </w:pPr>
      <w:r w:rsidRPr="00FD28C3">
        <w:t>Release 1. This is the first release of this unit of competency in the TLI Transport and Logistics Training Package.</w:t>
      </w:r>
    </w:p>
    <w:p w:rsidR="00000000" w:rsidRPr="00FD28C3" w:rsidP="00FD28C3">
      <w:pPr>
        <w:pStyle w:val="Heading1"/>
      </w:pPr>
      <w:bookmarkStart w:id="2" w:name="O_749741"/>
      <w:bookmarkEnd w:id="2"/>
      <w:r w:rsidRPr="00FD28C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C3" w:rsidP="00FD28C3">
            <w:pPr>
              <w:pStyle w:val="BodyText"/>
            </w:pPr>
            <w:r w:rsidRPr="00FD28C3">
              <w:t xml:space="preserve">This unit involves the skills and knowledge required to service and clean mechanical signalling equipment and infrastructure, in accordance with safeworking and regulatory requirements, and workplace standards and procedures. </w:t>
            </w:r>
          </w:p>
          <w:p w:rsidR="00000000" w:rsidRPr="00FD28C3" w:rsidP="00FD28C3">
            <w:pPr>
              <w:pStyle w:val="BodyText"/>
            </w:pPr>
            <w:r w:rsidRPr="00FD28C3">
              <w:t>It includes clean</w:t>
            </w:r>
            <w:r w:rsidRPr="00FD28C3">
              <w:t xml:space="preserve">ing and servicing the equipment/infrastructure, and checking/testing the operation and functionality of the equipment/infrastructure after cleaning. </w:t>
            </w:r>
          </w:p>
          <w:p w:rsidR="00000000" w:rsidRPr="00FD28C3" w:rsidP="00FD28C3">
            <w:pPr>
              <w:pStyle w:val="BodyText"/>
            </w:pPr>
            <w:r w:rsidRPr="00FD28C3">
              <w:t>People achieving competence in this unit will need to fulfil the applicable state/territory legislated rai</w:t>
            </w:r>
            <w:r w:rsidRPr="00FD28C3">
              <w:t>l safety requirements and to comply with relevant codes of practice, rail industry standards and/or guidelines.</w:t>
            </w:r>
          </w:p>
          <w:p w:rsidR="00000000" w:rsidRPr="00FD28C3" w:rsidP="00FD28C3">
            <w:pPr>
              <w:pStyle w:val="BodyText"/>
            </w:pPr>
            <w:r w:rsidRPr="00FD28C3">
              <w:t xml:space="preserve">Work is performed under minimal supervision, generally within a team environment. It involves the application of routine operational principles </w:t>
            </w:r>
            <w:r w:rsidRPr="00FD28C3">
              <w:t>and procedures when servicing and cleaning mechanical infrastructure signalling equipment, as part of workplace activities across a variety of operational contexts within the Australian rail system.</w:t>
            </w:r>
          </w:p>
          <w:p w:rsidR="00000000" w:rsidRPr="00FD28C3" w:rsidP="00FD28C3">
            <w:pPr>
              <w:pStyle w:val="BodyText"/>
            </w:pPr>
            <w:r w:rsidRPr="00FD28C3">
              <w:t>No licensing, legislative or certification requirements a</w:t>
            </w:r>
            <w:r w:rsidRPr="00FD28C3">
              <w:t>pply to this unit at the time of publication.</w:t>
            </w:r>
          </w:p>
        </w:tc>
      </w:tr>
    </w:tbl>
    <w:p w:rsidR="002B61D2" w:rsidP="00FD28C3">
      <w:pPr>
        <w:pStyle w:val="BodyText"/>
      </w:pPr>
    </w:p>
    <w:p w:rsidR="002B61D2" w:rsidP="00FD28C3">
      <w:pPr>
        <w:pStyle w:val="BodyText"/>
      </w:pPr>
    </w:p>
    <w:p w:rsidR="00000000" w:rsidRPr="00FD28C3" w:rsidP="00FD28C3">
      <w:pPr>
        <w:pStyle w:val="Heading1"/>
      </w:pPr>
      <w:bookmarkStart w:id="3" w:name="O_749742"/>
      <w:bookmarkEnd w:id="3"/>
      <w:r w:rsidRPr="00FD28C3">
        <w:t>Pre-requisite Unit</w:t>
      </w:r>
    </w:p>
    <w:p w:rsidR="00000000" w:rsidRPr="00FD28C3" w:rsidP="002B61D2">
      <w:pPr>
        <w:pStyle w:val="BodyText"/>
      </w:pPr>
      <w:r w:rsidRPr="00FD28C3">
        <w:t>Not applicable.</w:t>
      </w:r>
    </w:p>
    <w:p w:rsidR="00000000" w:rsidRPr="00FD28C3" w:rsidP="00FD28C3">
      <w:pPr>
        <w:pStyle w:val="Heading1"/>
      </w:pPr>
      <w:bookmarkStart w:id="4" w:name="O_749743"/>
      <w:bookmarkEnd w:id="4"/>
      <w:r w:rsidRPr="00FD28C3">
        <w:t>Competency Field</w:t>
      </w:r>
    </w:p>
    <w:p w:rsidR="002B61D2" w:rsidP="002B61D2">
      <w:pPr>
        <w:pStyle w:val="BodyText"/>
      </w:pPr>
      <w:r w:rsidRPr="00FD28C3">
        <w:t>B – Equipment Checking and Maintenance</w:t>
      </w:r>
    </w:p>
    <w:p w:rsidR="00000000" w:rsidRPr="00FD28C3" w:rsidP="00FD28C3">
      <w:pPr>
        <w:pStyle w:val="Heading1"/>
      </w:pPr>
      <w:bookmarkStart w:id="5" w:name="O_749744"/>
      <w:bookmarkEnd w:id="5"/>
      <w:r w:rsidRPr="00FD28C3">
        <w:t>Unit Sector</w:t>
      </w:r>
    </w:p>
    <w:p w:rsidR="00000000" w:rsidRPr="00FD28C3" w:rsidP="002B61D2">
      <w:pPr>
        <w:pStyle w:val="BodyText"/>
      </w:pPr>
      <w:r w:rsidRPr="00FD28C3">
        <w:t>Not applicable.</w:t>
      </w:r>
    </w:p>
    <w:p w:rsidR="00000000" w:rsidRPr="00FD28C3" w:rsidP="00FD28C3">
      <w:pPr>
        <w:pStyle w:val="Heading1"/>
      </w:pPr>
      <w:bookmarkStart w:id="6" w:name="O_749745"/>
      <w:bookmarkEnd w:id="6"/>
      <w:r w:rsidRPr="00FD28C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C3" w:rsidP="00FD28C3">
            <w:pPr>
              <w:pStyle w:val="BodyText"/>
            </w:pPr>
            <w:r w:rsidRPr="00FD28C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rPr>
                <w:rStyle w:val="SpecialBold"/>
              </w:rPr>
              <w:t>PERFORMANCE CRITERIA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Performance criteria describe the performance needed to demonstrate achievement of the element.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C3" w:rsidP="00FD28C3">
            <w:pPr>
              <w:pStyle w:val="BodyText"/>
            </w:pPr>
            <w:r w:rsidRPr="00FD28C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rPr>
                <w:rStyle w:val="SpecialBold"/>
              </w:rPr>
              <w:t>Clean and service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Cleaning and s</w:t>
            </w:r>
            <w:r w:rsidRPr="00FD28C3">
              <w:t>ervicing equipment, resources and consumables are confirmed ready for use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Hazards are identified, risks are assessed and control measures are implemented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All rubbish, weeds and obstructions are removed from equipment and housings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Initial visual check of operational equipment is performed to identify equipment faults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External surfaces are inspected and are prepared/painted to organisational standards as required to protect the equipment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All in</w:t>
            </w:r>
            <w:r w:rsidRPr="00FD28C3">
              <w:t>ternal and external surfaces and operational components are cleaned and lubricated to ensure operational effectiveness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All chemicals, lubricants and consumables are used and disposed of in accordance with safety data sheets (SDSs)/material safety da</w:t>
            </w:r>
            <w:r w:rsidRPr="00FD28C3">
              <w:t>ta sheets (MSDSs), work health and safety (WHS)/occupational health and safety (OHS) codes and practices, and environmental procedures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C3" w:rsidP="00FD28C3">
            <w:pPr>
              <w:pStyle w:val="BodyText"/>
            </w:pPr>
            <w:r w:rsidRPr="00FD28C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rPr>
                <w:rStyle w:val="SpecialBold"/>
              </w:rPr>
              <w:t>Check equipment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Approval to conduct a check of equipment operation is obtained in accordance with releva</w:t>
            </w:r>
            <w:r w:rsidRPr="00FD28C3">
              <w:t>nt operational rules and procedures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Track clearance check is made before conducting equipment operation check to ensure safe train movement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Authorised equipment operation check is carr</w:t>
            </w:r>
            <w:r w:rsidRPr="00FD28C3">
              <w:t>ied out in accordance with operating procedures to identify equipment faults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Operational effectiveness of equipment is confirmed through observation during train movements as required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Equipment faults are identified, reported and appropriate corrective action is taken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Serviced equipment is locked and secured to prevent unauthorised access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C3" w:rsidP="00FD28C3">
            <w:pPr>
              <w:pStyle w:val="BodyText"/>
            </w:pPr>
            <w:r w:rsidRPr="00FD28C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Required documentation procedures and processes are confirmed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 xml:space="preserve">Documentation is filled in legibly and proofread </w:t>
            </w:r>
          </w:p>
        </w:tc>
      </w:tr>
      <w:tr w:rsidTr="002B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C3">
            <w:pPr>
              <w:pStyle w:val="BodyText"/>
              <w:rPr>
                <w:lang w:val="en-NZ"/>
              </w:rPr>
            </w:pPr>
            <w:r w:rsidRPr="00FD28C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C3" w:rsidP="00FD28C3">
            <w:pPr>
              <w:pStyle w:val="BodyText"/>
            </w:pPr>
            <w:r w:rsidRPr="00FD28C3">
              <w:t>Documentation is processed in accordance with workplace procedures</w:t>
            </w:r>
          </w:p>
        </w:tc>
      </w:tr>
    </w:tbl>
    <w:p w:rsidR="002B61D2" w:rsidP="00FD28C3">
      <w:pPr>
        <w:pStyle w:val="BodyText"/>
      </w:pPr>
    </w:p>
    <w:p w:rsidR="002B61D2" w:rsidP="00FD28C3">
      <w:pPr>
        <w:pStyle w:val="BodyText"/>
      </w:pPr>
    </w:p>
    <w:p w:rsidR="00000000" w:rsidRPr="00FD28C3" w:rsidP="00FD28C3">
      <w:pPr>
        <w:pStyle w:val="Heading1"/>
      </w:pPr>
      <w:bookmarkStart w:id="7" w:name="O_749746"/>
      <w:bookmarkEnd w:id="7"/>
      <w:r w:rsidRPr="00FD28C3">
        <w:t>Foundation Skills</w:t>
      </w:r>
    </w:p>
    <w:p w:rsidR="002B61D2" w:rsidP="002B61D2">
      <w:pPr>
        <w:pStyle w:val="BodyText"/>
      </w:pPr>
      <w:r w:rsidRPr="00FD28C3">
        <w:t>Foundation skills essential to performance are explicit in the performance criteria of this unit of competency.</w:t>
      </w:r>
    </w:p>
    <w:p w:rsidR="00000000" w:rsidRPr="00FD28C3" w:rsidP="00FD28C3">
      <w:pPr>
        <w:pStyle w:val="Heading1"/>
      </w:pPr>
      <w:bookmarkStart w:id="8" w:name="O_749747"/>
      <w:bookmarkEnd w:id="8"/>
      <w:r w:rsidRPr="00FD28C3">
        <w:t>Range of Conditions</w:t>
      </w:r>
    </w:p>
    <w:p w:rsidR="00000000" w:rsidRPr="00FD28C3" w:rsidP="002B61D2">
      <w:pPr>
        <w:pStyle w:val="BodyText"/>
      </w:pPr>
      <w:r w:rsidRPr="00FD28C3">
        <w:t>Range is restricted to essential operating conditions and any other variables essential to the work enviro</w:t>
      </w:r>
      <w:r w:rsidRPr="00FD28C3">
        <w:t>nment.</w:t>
      </w:r>
    </w:p>
    <w:p w:rsidR="002B61D2" w:rsidP="002B61D2">
      <w:pPr>
        <w:pStyle w:val="BodyText"/>
      </w:pPr>
      <w:r w:rsidRPr="00FD28C3">
        <w:t>Non-essential conditions can be found in the Companion Volume Implementation Guide.</w:t>
      </w:r>
    </w:p>
    <w:p w:rsidR="00000000" w:rsidRPr="00FD28C3" w:rsidP="00FD28C3">
      <w:pPr>
        <w:pStyle w:val="Heading1"/>
      </w:pPr>
      <w:bookmarkStart w:id="9" w:name="O_749748"/>
      <w:bookmarkEnd w:id="9"/>
      <w:r w:rsidRPr="00FD28C3">
        <w:t>Unit Mapping Information</w:t>
      </w:r>
    </w:p>
    <w:p w:rsidR="002B61D2" w:rsidP="002B61D2">
      <w:pPr>
        <w:pStyle w:val="BodyText"/>
      </w:pPr>
      <w:r w:rsidRPr="00FD28C3">
        <w:t>This unit replaces and is equivalent to TLIB3046A Service and clean mechanical signalling equipment and infrastructure.</w:t>
      </w:r>
    </w:p>
    <w:p w:rsidR="00000000" w:rsidRPr="00FD28C3" w:rsidP="00FD28C3">
      <w:pPr>
        <w:pStyle w:val="Heading1"/>
      </w:pPr>
      <w:bookmarkStart w:id="10" w:name="O_749755"/>
      <w:bookmarkEnd w:id="10"/>
      <w:r w:rsidRPr="00FD28C3">
        <w:t>Links</w:t>
      </w:r>
    </w:p>
    <w:p w:rsidR="00000000" w:rsidRPr="00FD28C3" w:rsidP="002B61D2">
      <w:pPr>
        <w:pStyle w:val="BodyText"/>
      </w:pPr>
      <w:r w:rsidRPr="00FD28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82C1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D28C3" w:rsidP="00FD28C3"/>
    <w:sectPr w:rsidSect="00FD28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8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8C3" w:rsidRPr="002B61D2" w:rsidP="002B6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8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D2" w:rsidP="00FD28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61D2" w:rsidP="00FD28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B61D2" w:rsidP="00FD28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8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8C3" w:rsidRPr="002B61D2" w:rsidP="002B6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8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D2" w:rsidRPr="002D2AF8" w:rsidP="00FD28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TLIB3046 Service and clean mechanical signalling equipment and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B61D2" w:rsidP="00FD28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8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8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8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8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8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8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8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8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8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8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8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8C3"/>
  </w:style>
  <w:style w:type="character" w:customStyle="1" w:styleId="Heading1Char">
    <w:name w:val="Heading 1 Char"/>
    <w:basedOn w:val="DefaultParagraphFont"/>
    <w:link w:val="Heading1"/>
    <w:rsid w:val="00FD28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8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8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28C3"/>
    <w:rPr>
      <w:b/>
      <w:spacing w:val="0"/>
    </w:rPr>
  </w:style>
  <w:style w:type="paragraph" w:customStyle="1" w:styleId="SuperHeading">
    <w:name w:val="SuperHeading"/>
    <w:basedOn w:val="Normal"/>
    <w:rsid w:val="00FD28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8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8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8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8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8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8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8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8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8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8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8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8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8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8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8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8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28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28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8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8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8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8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8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8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8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8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8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8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8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8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8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28C3"/>
    <w:rPr>
      <w:i/>
    </w:rPr>
  </w:style>
  <w:style w:type="paragraph" w:styleId="Caption">
    <w:name w:val="caption"/>
    <w:basedOn w:val="BodyText"/>
    <w:next w:val="Normal"/>
    <w:qFormat/>
    <w:rsid w:val="00FD28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8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8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8C3"/>
  </w:style>
  <w:style w:type="paragraph" w:styleId="TableofFigures">
    <w:name w:val="table of figures"/>
    <w:basedOn w:val="Normal"/>
    <w:next w:val="Normal"/>
    <w:semiHidden/>
    <w:rsid w:val="00FD28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8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28C3"/>
    <w:rPr>
      <w:rFonts w:ascii="Wingdings" w:hAnsi="Wingdings"/>
    </w:rPr>
  </w:style>
  <w:style w:type="paragraph" w:customStyle="1" w:styleId="TableHeading">
    <w:name w:val="Table Heading"/>
    <w:basedOn w:val="HeadingBase"/>
    <w:rsid w:val="00FD28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8C3"/>
    <w:rPr>
      <w:color w:val="0033CC"/>
      <w:u w:val="none"/>
    </w:rPr>
  </w:style>
  <w:style w:type="paragraph" w:customStyle="1" w:styleId="BodyTextRight">
    <w:name w:val="Body Text Right"/>
    <w:basedOn w:val="BodyText"/>
    <w:rsid w:val="00FD28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8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8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8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8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8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8C3"/>
    <w:rPr>
      <w:sz w:val="32"/>
    </w:rPr>
  </w:style>
  <w:style w:type="paragraph" w:customStyle="1" w:styleId="HeadingProcedure">
    <w:name w:val="Heading Procedure"/>
    <w:basedOn w:val="HeadingBase"/>
    <w:next w:val="Normal"/>
    <w:rsid w:val="00FD28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8C3"/>
    <w:pPr>
      <w:spacing w:before="60" w:after="60"/>
    </w:pPr>
  </w:style>
  <w:style w:type="paragraph" w:styleId="ListContinue">
    <w:name w:val="List Continue"/>
    <w:basedOn w:val="List"/>
    <w:rsid w:val="00FD28C3"/>
    <w:pPr>
      <w:ind w:firstLine="0"/>
    </w:pPr>
  </w:style>
  <w:style w:type="paragraph" w:customStyle="1" w:styleId="ListNote">
    <w:name w:val="List Note"/>
    <w:basedOn w:val="List"/>
    <w:rsid w:val="00FD28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8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8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8C3"/>
    <w:rPr>
      <w:rFonts w:ascii="Courier New" w:hAnsi="Courier New"/>
    </w:rPr>
  </w:style>
  <w:style w:type="paragraph" w:customStyle="1" w:styleId="NoteBullet">
    <w:name w:val="Note Bullet"/>
    <w:basedOn w:val="Note"/>
    <w:rsid w:val="00FD28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8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8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8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8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28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8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8C3"/>
    <w:rPr>
      <w:b/>
      <w:smallCaps/>
    </w:rPr>
  </w:style>
  <w:style w:type="paragraph" w:customStyle="1" w:styleId="TableListNumber">
    <w:name w:val="Table List Number"/>
    <w:basedOn w:val="ListNumber"/>
    <w:rsid w:val="00FD28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8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8C3"/>
    <w:pPr>
      <w:numPr>
        <w:numId w:val="7"/>
      </w:numPr>
    </w:pPr>
  </w:style>
  <w:style w:type="paragraph" w:customStyle="1" w:styleId="ListAlpha2">
    <w:name w:val="List Alpha 2"/>
    <w:basedOn w:val="List2"/>
    <w:rsid w:val="00FD28C3"/>
    <w:pPr>
      <w:numPr>
        <w:numId w:val="6"/>
      </w:numPr>
    </w:pPr>
  </w:style>
  <w:style w:type="paragraph" w:styleId="List2">
    <w:name w:val="List 2"/>
    <w:basedOn w:val="BodyText"/>
    <w:rsid w:val="00FD28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8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8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8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8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8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28C3"/>
    <w:pPr>
      <w:numPr>
        <w:numId w:val="2"/>
      </w:numPr>
    </w:pPr>
  </w:style>
  <w:style w:type="paragraph" w:styleId="ListContinue2">
    <w:name w:val="List Continue 2"/>
    <w:basedOn w:val="List2"/>
    <w:rsid w:val="00FD28C3"/>
    <w:pPr>
      <w:ind w:firstLine="0"/>
    </w:pPr>
  </w:style>
  <w:style w:type="paragraph" w:styleId="ListContinue3">
    <w:name w:val="List Continue 3"/>
    <w:basedOn w:val="List3"/>
    <w:rsid w:val="00FD28C3"/>
    <w:pPr>
      <w:ind w:left="1021" w:firstLine="0"/>
    </w:pPr>
  </w:style>
  <w:style w:type="paragraph" w:styleId="ListContinue4">
    <w:name w:val="List Continue 4"/>
    <w:basedOn w:val="List4"/>
    <w:rsid w:val="00FD28C3"/>
    <w:pPr>
      <w:ind w:firstLine="0"/>
    </w:pPr>
  </w:style>
  <w:style w:type="paragraph" w:styleId="ListContinue5">
    <w:name w:val="List Continue 5"/>
    <w:basedOn w:val="List5"/>
    <w:rsid w:val="00FD28C3"/>
    <w:pPr>
      <w:ind w:firstLine="0"/>
    </w:pPr>
  </w:style>
  <w:style w:type="paragraph" w:styleId="ListNumber3">
    <w:name w:val="List Number 3"/>
    <w:basedOn w:val="List3"/>
    <w:rsid w:val="00FD28C3"/>
    <w:pPr>
      <w:numPr>
        <w:numId w:val="3"/>
      </w:numPr>
    </w:pPr>
  </w:style>
  <w:style w:type="paragraph" w:styleId="ListNumber4">
    <w:name w:val="List Number 4"/>
    <w:basedOn w:val="List4"/>
    <w:rsid w:val="00FD28C3"/>
    <w:pPr>
      <w:numPr>
        <w:numId w:val="4"/>
      </w:numPr>
    </w:pPr>
  </w:style>
  <w:style w:type="paragraph" w:styleId="ListNumber5">
    <w:name w:val="List Number 5"/>
    <w:basedOn w:val="List5"/>
    <w:rsid w:val="00FD28C3"/>
    <w:pPr>
      <w:numPr>
        <w:numId w:val="5"/>
      </w:numPr>
    </w:pPr>
  </w:style>
  <w:style w:type="paragraph" w:styleId="BlockText">
    <w:name w:val="Block Text"/>
    <w:basedOn w:val="Normal"/>
    <w:rsid w:val="00FD28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8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8C3"/>
    <w:rPr>
      <w:sz w:val="16"/>
      <w:vertAlign w:val="superscript"/>
    </w:rPr>
  </w:style>
  <w:style w:type="character" w:customStyle="1" w:styleId="Symbols">
    <w:name w:val="Symbols"/>
    <w:basedOn w:val="DefaultParagraphFont"/>
    <w:rsid w:val="00FD28C3"/>
    <w:rPr>
      <w:rFonts w:ascii="Symbol" w:hAnsi="Symbol"/>
    </w:rPr>
  </w:style>
  <w:style w:type="character" w:customStyle="1" w:styleId="MenuOptions">
    <w:name w:val="Menu Options"/>
    <w:basedOn w:val="DefaultParagraphFont"/>
    <w:rsid w:val="00FD28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8C3"/>
    <w:rPr>
      <w:b/>
    </w:rPr>
  </w:style>
  <w:style w:type="character" w:customStyle="1" w:styleId="Underlined">
    <w:name w:val="Underlined"/>
    <w:basedOn w:val="DefaultParagraphFont"/>
    <w:rsid w:val="00FD28C3"/>
    <w:rPr>
      <w:u w:val="single"/>
    </w:rPr>
  </w:style>
  <w:style w:type="paragraph" w:customStyle="1" w:styleId="TableBodyTextRight">
    <w:name w:val="Table Body Text Right"/>
    <w:basedOn w:val="TableBodyText"/>
    <w:rsid w:val="00FD28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8C3"/>
    <w:rPr>
      <w:sz w:val="18"/>
    </w:rPr>
  </w:style>
  <w:style w:type="paragraph" w:customStyle="1" w:styleId="BodySmallRight">
    <w:name w:val="Body Small Right"/>
    <w:basedOn w:val="BodyTextRight"/>
    <w:rsid w:val="00FD28C3"/>
    <w:rPr>
      <w:sz w:val="18"/>
      <w:szCs w:val="18"/>
    </w:rPr>
  </w:style>
  <w:style w:type="paragraph" w:customStyle="1" w:styleId="MarginEdition">
    <w:name w:val="Margin Edition"/>
    <w:basedOn w:val="MarginNote"/>
    <w:rsid w:val="00FD28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8C3"/>
    <w:rPr>
      <w:sz w:val="2"/>
      <w:szCs w:val="2"/>
    </w:rPr>
  </w:style>
  <w:style w:type="character" w:customStyle="1" w:styleId="Small">
    <w:name w:val="Small"/>
    <w:basedOn w:val="DefaultParagraphFont"/>
    <w:rsid w:val="00FD28C3"/>
    <w:rPr>
      <w:sz w:val="16"/>
    </w:rPr>
  </w:style>
  <w:style w:type="paragraph" w:customStyle="1" w:styleId="WideTable">
    <w:name w:val="Wide Table"/>
    <w:basedOn w:val="Normal"/>
    <w:rsid w:val="00FD28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8C3"/>
  </w:style>
  <w:style w:type="paragraph" w:styleId="Quote">
    <w:name w:val="Quote"/>
    <w:basedOn w:val="Heading1"/>
    <w:link w:val="QuoteChar"/>
    <w:qFormat/>
    <w:rsid w:val="00FD28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8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8C3"/>
    <w:pPr>
      <w:pageBreakBefore/>
    </w:pPr>
  </w:style>
  <w:style w:type="paragraph" w:customStyle="1" w:styleId="Border">
    <w:name w:val="Border"/>
    <w:basedOn w:val="Normal"/>
    <w:qFormat/>
    <w:rsid w:val="00FD28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8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8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8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8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8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8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8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8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8C3"/>
    <w:rPr>
      <w:u w:val="single"/>
    </w:rPr>
  </w:style>
  <w:style w:type="character" w:customStyle="1" w:styleId="BoldandItalics">
    <w:name w:val="Bold and Italics"/>
    <w:qFormat/>
    <w:rsid w:val="00FD28C3"/>
    <w:rPr>
      <w:b/>
      <w:i/>
      <w:u w:val="none"/>
    </w:rPr>
  </w:style>
  <w:style w:type="paragraph" w:styleId="BalloonText">
    <w:name w:val="Balloon Text"/>
    <w:basedOn w:val="Normal"/>
    <w:link w:val="BalloonTextChar"/>
    <w:rsid w:val="00FD28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8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8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8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8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8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8C3"/>
    <w:pPr>
      <w:spacing w:before="0" w:after="0"/>
    </w:pPr>
  </w:style>
  <w:style w:type="paragraph" w:customStyle="1" w:styleId="BodyTextBold">
    <w:name w:val="Body Text Bold"/>
    <w:basedOn w:val="BodyText"/>
    <w:qFormat/>
    <w:rsid w:val="00FD28C3"/>
    <w:rPr>
      <w:b/>
    </w:rPr>
  </w:style>
  <w:style w:type="character" w:styleId="Hyperlink">
    <w:name w:val="Hyperlink"/>
    <w:basedOn w:val="DefaultParagraphFont"/>
    <w:uiPriority w:val="99"/>
    <w:unhideWhenUsed/>
    <w:rsid w:val="002B6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3770</Characters>
  <Application>Microsoft Office Word</Application>
  <DocSecurity>0</DocSecurity>
  <Lines>145</Lines>
  <Paragraphs>83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TLIB3046 Service and clean mechanical signalling equipment and infrastructure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