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70A" w:rsidP="00165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TLIB3021 Conduct train roll-by inspection</w:t>
      </w:r>
      <w:r>
        <w:fldChar w:fldCharType="end"/>
      </w:r>
    </w:p>
    <w:p w:rsidR="0016570A" w:rsidP="0016570A">
      <w:pPr>
        <w:pStyle w:val="Version"/>
        <w:sectPr w:rsidSect="008D7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7571" w:rsidP="008D7571">
      <w:pPr>
        <w:pStyle w:val="SuperHeading"/>
      </w:pPr>
      <w:r w:rsidRPr="008D7571">
        <w:t>TLIB3021 Conduct train roll-by inspection</w:t>
      </w:r>
    </w:p>
    <w:p w:rsidR="00000000" w:rsidRPr="008D7571" w:rsidP="008D7571">
      <w:pPr>
        <w:pStyle w:val="Heading1"/>
      </w:pPr>
      <w:bookmarkStart w:id="1" w:name="O_1195521"/>
      <w:bookmarkEnd w:id="1"/>
      <w:r w:rsidRPr="008D75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Release 2</w:t>
            </w:r>
            <w:r w:rsidRPr="008D7571">
              <w:t>. This is the second release of this unit of competency in the TLI Transport and Logistics Training Package:</w:t>
            </w:r>
          </w:p>
          <w:p w:rsidR="00000000" w:rsidP="008D7571">
            <w:pPr>
              <w:pStyle w:val="ListBullet"/>
              <w:rPr>
                <w:lang w:val="en-NZ"/>
              </w:rPr>
            </w:pPr>
            <w:r w:rsidRPr="008D7571">
              <w:t>Minor statement changes in Assessment Conditions.</w:t>
            </w:r>
          </w:p>
        </w:tc>
      </w:tr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Release 1</w:t>
            </w:r>
            <w:r w:rsidRPr="008D7571">
              <w:t>. This is the first release of this unit of competency i</w:t>
            </w:r>
            <w:r w:rsidRPr="008D7571">
              <w:t>n the TLI Transport and Logistics Training Package.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2" w:name="O_1195520"/>
      <w:bookmarkEnd w:id="2"/>
      <w:r w:rsidRPr="008D75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 xml:space="preserve">This unit involves the skills and knowledge required to conduct a train roll-by inspection in accordance with workplace procedures and the requirements of relevant system </w:t>
            </w:r>
            <w:r w:rsidRPr="008D7571">
              <w:t>of safeworking, rules, regulations and codes of practice.</w:t>
            </w:r>
          </w:p>
          <w:p w:rsidR="00000000" w:rsidRPr="008D7571" w:rsidP="008D7571">
            <w:pPr>
              <w:pStyle w:val="BodyText"/>
            </w:pPr>
            <w:r w:rsidRPr="008D7571">
              <w:t>It includes preparing to carry out a roll-by inspection of a moving train, inspecting a moving train in accordance with workplace procedures, and reporting and/or actioning inspection results.</w:t>
            </w:r>
          </w:p>
          <w:p w:rsidR="00000000" w:rsidRPr="008D7571" w:rsidP="008D7571">
            <w:pPr>
              <w:pStyle w:val="BodyText"/>
            </w:pPr>
            <w:r w:rsidRPr="008D7571">
              <w:t>Peopl</w:t>
            </w:r>
            <w:r w:rsidRPr="008D7571">
              <w:t>e achieving competence in this unit will need to fulfil the applicable state/territory legislated rail safety requirements and to comply with relevant codes of practice and/or guidelines.</w:t>
            </w:r>
          </w:p>
          <w:p w:rsidR="00000000" w:rsidRPr="008D7571" w:rsidP="008D7571">
            <w:pPr>
              <w:pStyle w:val="BodyText"/>
            </w:pPr>
            <w:r w:rsidRPr="008D7571">
              <w:t>Work is performed without supervision, generally within a team envir</w:t>
            </w:r>
            <w:r w:rsidRPr="008D7571">
              <w:t>onment. It involves the application of operational principles, regulations, system of safeworking, codes, protocols and procedures when conducting a roll-by inspection of a moving train, as part of workplace activities across a variety of operational conte</w:t>
            </w:r>
            <w:r w:rsidRPr="008D7571">
              <w:t>xts within the Australian rail industry.</w:t>
            </w:r>
          </w:p>
          <w:p w:rsidR="00000000" w:rsidRPr="008D7571" w:rsidP="008D7571">
            <w:pPr>
              <w:pStyle w:val="BodyText"/>
            </w:pPr>
            <w:r w:rsidRPr="008D7571">
              <w:t>Inspecting condition of rolling stock and load may involve:</w:t>
            </w:r>
          </w:p>
          <w:p w:rsidR="00000000" w:rsidRPr="008D7571" w:rsidP="008D7571">
            <w:pPr>
              <w:pStyle w:val="ListBullet"/>
            </w:pPr>
            <w:r w:rsidRPr="008D7571">
              <w:t>air and electrical connections</w:t>
            </w:r>
          </w:p>
          <w:p w:rsidR="00000000" w:rsidRPr="008D7571" w:rsidP="008D7571">
            <w:pPr>
              <w:pStyle w:val="ListBullet"/>
            </w:pPr>
            <w:r w:rsidRPr="008D7571">
              <w:t>bearings</w:t>
            </w:r>
          </w:p>
          <w:p w:rsidR="00000000" w:rsidRPr="008D7571" w:rsidP="008D7571">
            <w:pPr>
              <w:pStyle w:val="ListBullet"/>
            </w:pPr>
            <w:r w:rsidRPr="008D7571">
              <w:t>brake equipment</w:t>
            </w:r>
          </w:p>
          <w:p w:rsidR="00000000" w:rsidRPr="008D7571" w:rsidP="008D7571">
            <w:pPr>
              <w:pStyle w:val="ListBullet"/>
            </w:pPr>
            <w:r w:rsidRPr="008D7571">
              <w:t>dangerous goods condition and separation</w:t>
            </w:r>
          </w:p>
          <w:p w:rsidR="00000000" w:rsidRPr="008D7571" w:rsidP="008D7571">
            <w:pPr>
              <w:pStyle w:val="ListBullet"/>
            </w:pPr>
            <w:r w:rsidRPr="008D7571">
              <w:t>draw gear</w:t>
            </w:r>
          </w:p>
          <w:p w:rsidR="00000000" w:rsidRPr="008D7571" w:rsidP="008D7571">
            <w:pPr>
              <w:pStyle w:val="ListBullet"/>
            </w:pPr>
            <w:r w:rsidRPr="008D7571">
              <w:t>load condition (damage and leaks)</w:t>
            </w:r>
          </w:p>
          <w:p w:rsidR="00000000" w:rsidRPr="008D7571" w:rsidP="008D7571">
            <w:pPr>
              <w:pStyle w:val="ListBullet"/>
            </w:pPr>
            <w:r w:rsidRPr="008D7571">
              <w:t>load securing devices (chains, ropes and pins)</w:t>
            </w:r>
          </w:p>
          <w:p w:rsidR="00000000" w:rsidRPr="008D7571" w:rsidP="008D7571">
            <w:pPr>
              <w:pStyle w:val="ListBullet"/>
            </w:pPr>
            <w:r w:rsidRPr="008D7571">
              <w:t>locking and securing devices</w:t>
            </w:r>
          </w:p>
          <w:p w:rsidR="00000000" w:rsidRPr="008D7571" w:rsidP="008D7571">
            <w:pPr>
              <w:pStyle w:val="ListBullet"/>
            </w:pPr>
            <w:r w:rsidRPr="008D7571">
              <w:t>out-of-gauge conditions</w:t>
            </w:r>
          </w:p>
          <w:p w:rsidR="00000000" w:rsidRPr="008D7571" w:rsidP="008D7571">
            <w:pPr>
              <w:pStyle w:val="ListBullet"/>
            </w:pPr>
            <w:r w:rsidRPr="008D7571">
              <w:t>superstructures</w:t>
            </w:r>
          </w:p>
          <w:p w:rsidR="00000000" w:rsidRPr="008D7571" w:rsidP="008D7571">
            <w:pPr>
              <w:pStyle w:val="ListBullet"/>
            </w:pPr>
            <w:r w:rsidRPr="008D7571">
              <w:t>trailing items (ropes and hoses)</w:t>
            </w:r>
          </w:p>
          <w:p w:rsidR="00000000" w:rsidRPr="008D7571" w:rsidP="008D7571">
            <w:pPr>
              <w:pStyle w:val="ListBullet"/>
            </w:pPr>
            <w:r w:rsidRPr="008D7571">
              <w:t>wheels.</w:t>
            </w:r>
          </w:p>
          <w:p w:rsidR="00000000" w:rsidRPr="008D7571" w:rsidP="008D7571">
            <w:pPr>
              <w:pStyle w:val="BodyText"/>
            </w:pPr>
            <w:r w:rsidRPr="008D7571">
              <w:t>No licensing, legislative or certification requirements apply to this unit at the time of publicati</w:t>
            </w:r>
            <w:r w:rsidRPr="008D7571">
              <w:t>on.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3" w:name="O_1195519"/>
      <w:bookmarkEnd w:id="3"/>
      <w:r w:rsidRPr="008D75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Not applicable.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4" w:name="O_1195518"/>
      <w:bookmarkEnd w:id="4"/>
      <w:r w:rsidRPr="008D75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B – Equipment Checking and Maintenance.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5" w:name="O_1195517"/>
      <w:bookmarkEnd w:id="5"/>
      <w:r w:rsidRPr="008D75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Rail sector.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6" w:name="O_1195515"/>
      <w:bookmarkEnd w:id="6"/>
      <w:r w:rsidRPr="008D75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1956"/>
        <w:gridCol w:w="446"/>
        <w:gridCol w:w="6463"/>
      </w:tblGrid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PERFORMANCE CRITERIA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Performance criteria describe the performance needed to demonstrate achievement of the element.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Prepare for train roll-by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Documentat</w:t>
            </w:r>
            <w:r w:rsidRPr="008D7571">
              <w:t>ion and other relevant reports are read and clarified, as required, to confirm inspection requirements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Individual responsibilities required to complete roll-by inspection are agreed with relevant personnel, as required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Hazards are identified, risks are assessed and risk control measures are implemented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Position is taken for roll-by inspection at planned time to ensure complete observation without personal risk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Conditions are assessed and necessary actions a</w:t>
            </w:r>
            <w:r w:rsidRPr="008D7571">
              <w:t>re taken to ensure roll-by inspection is effective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Conduct a roll-by inspection of a moving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Train identification and status is confirmed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Train hazards are identified, risks are assessed and risk control measures are implemented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Condition of rolling stock and load are systematically observed as train passes and specific faults are identified and noted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Communication is maintained with relevant personnel to ensure safe, efficient and complete roll-by inspection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 xml:space="preserve">Inspection is conducted in accordance with work health and safety (WHS)/occupational health and safety (OHS) workplace policies and </w:t>
            </w:r>
            <w:r w:rsidRPr="008D7571">
              <w:t>procedures to prevent injury and damage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Faults requiring urgent action are noted and appropriate action is taken to initiate immediate response to minimise risk from continued movement of train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Report and action roll-by inspection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Reports of inspections are completed to reflect in</w:t>
            </w:r>
            <w:r w:rsidRPr="008D7571">
              <w:t>spection results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Appropriate personnel are informed of faults or defects requiring rectification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Records are circulated and filed in accordance with workplace policies and procedures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rPr>
                <w:rStyle w:val="SpecialBold"/>
              </w:rPr>
              <w:t>Report on-train roll-by inspection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t>Outcomes of on-train roll-by inspections are transmitted to appropriate personnel</w:t>
            </w:r>
          </w:p>
        </w:tc>
      </w:tr>
      <w:tr w:rsidTr="00165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71">
            <w:pPr>
              <w:pStyle w:val="BodyText"/>
              <w:rPr>
                <w:lang w:val="en-NZ"/>
              </w:rPr>
            </w:pPr>
            <w:r w:rsidRPr="008D757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Records of on-train roll-by inspections are made in accordance with workplace policies and procedures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7" w:name="O_1195514"/>
      <w:bookmarkEnd w:id="7"/>
      <w:r w:rsidRPr="008D75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Foundation skills essential to performance are explicit in the performance criteria of this unit of competency.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8" w:name="O_1195513"/>
      <w:bookmarkEnd w:id="8"/>
      <w:r w:rsidRPr="008D75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Range is restricted to essential operating conditions and any other variables essential to the work environment.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9" w:name="O_1195512"/>
      <w:bookmarkEnd w:id="9"/>
      <w:r w:rsidRPr="008D75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5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71" w:rsidP="008D7571">
            <w:pPr>
              <w:pStyle w:val="BodyText"/>
            </w:pPr>
            <w:r w:rsidRPr="008D7571">
              <w:t>This unit replaces and is equivalent to TLIB3021A Conduct train roll-by inspection.</w:t>
            </w:r>
          </w:p>
        </w:tc>
      </w:tr>
    </w:tbl>
    <w:p w:rsidR="00000000" w:rsidRPr="008D7571" w:rsidP="008D7571">
      <w:pPr>
        <w:pStyle w:val="NoPaddingFontSize1"/>
      </w:pPr>
    </w:p>
    <w:p w:rsidR="00000000" w:rsidRPr="008D7571" w:rsidP="008D7571">
      <w:pPr>
        <w:pStyle w:val="AllowPageBreak"/>
      </w:pPr>
    </w:p>
    <w:p w:rsidR="00000000" w:rsidRPr="008D7571" w:rsidP="008D7571">
      <w:pPr>
        <w:pStyle w:val="Heading1"/>
      </w:pPr>
      <w:bookmarkStart w:id="10" w:name="O_1195522"/>
      <w:bookmarkEnd w:id="10"/>
      <w:r w:rsidRPr="008D7571">
        <w:t>Links</w:t>
      </w:r>
    </w:p>
    <w:p w:rsidR="00000000" w:rsidRPr="008D7571" w:rsidP="0016570A">
      <w:pPr>
        <w:pStyle w:val="BodyText"/>
      </w:pPr>
      <w:r w:rsidRPr="008D7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0F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7571" w:rsidP="008D7571"/>
    <w:sectPr w:rsidSect="008D7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 w:rsidRPr="0016570A" w:rsidP="00165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0A" w:rsidP="008D7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70A" w:rsidP="008D7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570A" w:rsidP="008D7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571" w:rsidRPr="0016570A" w:rsidP="00165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0A" w:rsidRPr="002D2AF8" w:rsidP="008D7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TLIB3021 Conduct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570A" w:rsidP="008D7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524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8B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571"/>
  </w:style>
  <w:style w:type="character" w:customStyle="1" w:styleId="Heading1Char">
    <w:name w:val="Heading 1 Char"/>
    <w:basedOn w:val="DefaultParagraphFont"/>
    <w:link w:val="Heading1"/>
    <w:rsid w:val="008D7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571"/>
    <w:rPr>
      <w:b/>
      <w:spacing w:val="0"/>
    </w:rPr>
  </w:style>
  <w:style w:type="paragraph" w:customStyle="1" w:styleId="SuperHeading">
    <w:name w:val="SuperHeading"/>
    <w:basedOn w:val="Normal"/>
    <w:rsid w:val="008D7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7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5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571"/>
    <w:rPr>
      <w:i/>
    </w:rPr>
  </w:style>
  <w:style w:type="paragraph" w:styleId="Caption">
    <w:name w:val="caption"/>
    <w:basedOn w:val="BodyText"/>
    <w:next w:val="Normal"/>
    <w:qFormat/>
    <w:rsid w:val="008D7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571"/>
  </w:style>
  <w:style w:type="paragraph" w:styleId="TableofFigures">
    <w:name w:val="table of figures"/>
    <w:basedOn w:val="Normal"/>
    <w:next w:val="Normal"/>
    <w:semiHidden/>
    <w:rsid w:val="008D7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571"/>
    <w:rPr>
      <w:rFonts w:ascii="Wingdings" w:hAnsi="Wingdings"/>
    </w:rPr>
  </w:style>
  <w:style w:type="paragraph" w:customStyle="1" w:styleId="TableHeading">
    <w:name w:val="Table Heading"/>
    <w:basedOn w:val="HeadingBase"/>
    <w:rsid w:val="008D7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571"/>
    <w:rPr>
      <w:color w:val="0033CC"/>
      <w:u w:val="none"/>
    </w:rPr>
  </w:style>
  <w:style w:type="paragraph" w:customStyle="1" w:styleId="BodyTextRight">
    <w:name w:val="Body Text Right"/>
    <w:basedOn w:val="BodyText"/>
    <w:rsid w:val="008D7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571"/>
    <w:rPr>
      <w:sz w:val="32"/>
    </w:rPr>
  </w:style>
  <w:style w:type="paragraph" w:customStyle="1" w:styleId="HeadingProcedure">
    <w:name w:val="Heading Procedure"/>
    <w:basedOn w:val="HeadingBase"/>
    <w:next w:val="Normal"/>
    <w:rsid w:val="008D7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571"/>
    <w:pPr>
      <w:spacing w:before="60" w:after="60"/>
    </w:pPr>
  </w:style>
  <w:style w:type="paragraph" w:styleId="ListContinue">
    <w:name w:val="List Continue"/>
    <w:basedOn w:val="List"/>
    <w:rsid w:val="008D7571"/>
    <w:pPr>
      <w:ind w:firstLine="0"/>
    </w:pPr>
  </w:style>
  <w:style w:type="paragraph" w:customStyle="1" w:styleId="ListNote">
    <w:name w:val="List Note"/>
    <w:basedOn w:val="List"/>
    <w:rsid w:val="008D7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571"/>
    <w:rPr>
      <w:rFonts w:ascii="Courier New" w:hAnsi="Courier New"/>
    </w:rPr>
  </w:style>
  <w:style w:type="paragraph" w:customStyle="1" w:styleId="NoteBullet">
    <w:name w:val="Note Bullet"/>
    <w:basedOn w:val="Note"/>
    <w:rsid w:val="008D7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571"/>
    <w:rPr>
      <w:b/>
      <w:smallCaps/>
    </w:rPr>
  </w:style>
  <w:style w:type="paragraph" w:customStyle="1" w:styleId="TableListNumber">
    <w:name w:val="Table List Number"/>
    <w:basedOn w:val="ListNumber"/>
    <w:rsid w:val="008D7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571"/>
    <w:pPr>
      <w:numPr>
        <w:numId w:val="8"/>
      </w:numPr>
    </w:pPr>
  </w:style>
  <w:style w:type="paragraph" w:customStyle="1" w:styleId="ListAlpha2">
    <w:name w:val="List Alpha 2"/>
    <w:basedOn w:val="List2"/>
    <w:rsid w:val="008D7571"/>
    <w:pPr>
      <w:numPr>
        <w:numId w:val="7"/>
      </w:numPr>
    </w:pPr>
  </w:style>
  <w:style w:type="paragraph" w:styleId="List2">
    <w:name w:val="List 2"/>
    <w:basedOn w:val="BodyText"/>
    <w:rsid w:val="008D7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571"/>
    <w:pPr>
      <w:numPr>
        <w:numId w:val="3"/>
      </w:numPr>
    </w:pPr>
  </w:style>
  <w:style w:type="paragraph" w:styleId="ListContinue2">
    <w:name w:val="List Continue 2"/>
    <w:basedOn w:val="List2"/>
    <w:rsid w:val="008D7571"/>
    <w:pPr>
      <w:ind w:firstLine="0"/>
    </w:pPr>
  </w:style>
  <w:style w:type="paragraph" w:styleId="ListContinue3">
    <w:name w:val="List Continue 3"/>
    <w:basedOn w:val="List3"/>
    <w:rsid w:val="008D7571"/>
    <w:pPr>
      <w:ind w:left="1021" w:firstLine="0"/>
    </w:pPr>
  </w:style>
  <w:style w:type="paragraph" w:styleId="ListContinue4">
    <w:name w:val="List Continue 4"/>
    <w:basedOn w:val="List4"/>
    <w:rsid w:val="008D7571"/>
    <w:pPr>
      <w:ind w:firstLine="0"/>
    </w:pPr>
  </w:style>
  <w:style w:type="paragraph" w:styleId="ListContinue5">
    <w:name w:val="List Continue 5"/>
    <w:basedOn w:val="List5"/>
    <w:rsid w:val="008D7571"/>
    <w:pPr>
      <w:ind w:firstLine="0"/>
    </w:pPr>
  </w:style>
  <w:style w:type="paragraph" w:styleId="ListNumber3">
    <w:name w:val="List Number 3"/>
    <w:basedOn w:val="List3"/>
    <w:rsid w:val="008D7571"/>
    <w:pPr>
      <w:numPr>
        <w:numId w:val="4"/>
      </w:numPr>
    </w:pPr>
  </w:style>
  <w:style w:type="paragraph" w:styleId="ListNumber4">
    <w:name w:val="List Number 4"/>
    <w:basedOn w:val="List4"/>
    <w:rsid w:val="008D7571"/>
    <w:pPr>
      <w:numPr>
        <w:numId w:val="5"/>
      </w:numPr>
    </w:pPr>
  </w:style>
  <w:style w:type="paragraph" w:styleId="ListNumber5">
    <w:name w:val="List Number 5"/>
    <w:basedOn w:val="List5"/>
    <w:rsid w:val="008D7571"/>
    <w:pPr>
      <w:numPr>
        <w:numId w:val="6"/>
      </w:numPr>
    </w:pPr>
  </w:style>
  <w:style w:type="paragraph" w:styleId="BlockText">
    <w:name w:val="Block Text"/>
    <w:basedOn w:val="Normal"/>
    <w:rsid w:val="008D7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571"/>
    <w:rPr>
      <w:sz w:val="16"/>
      <w:vertAlign w:val="superscript"/>
    </w:rPr>
  </w:style>
  <w:style w:type="character" w:customStyle="1" w:styleId="Symbols">
    <w:name w:val="Symbols"/>
    <w:basedOn w:val="DefaultParagraphFont"/>
    <w:rsid w:val="008D7571"/>
    <w:rPr>
      <w:rFonts w:ascii="Symbol" w:hAnsi="Symbol"/>
    </w:rPr>
  </w:style>
  <w:style w:type="character" w:customStyle="1" w:styleId="MenuOptions">
    <w:name w:val="Menu Options"/>
    <w:basedOn w:val="DefaultParagraphFont"/>
    <w:rsid w:val="008D7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571"/>
    <w:rPr>
      <w:b/>
    </w:rPr>
  </w:style>
  <w:style w:type="character" w:customStyle="1" w:styleId="Underlined">
    <w:name w:val="Underlined"/>
    <w:basedOn w:val="DefaultParagraphFont"/>
    <w:rsid w:val="008D7571"/>
    <w:rPr>
      <w:u w:val="single"/>
    </w:rPr>
  </w:style>
  <w:style w:type="paragraph" w:customStyle="1" w:styleId="TableBodyTextRight">
    <w:name w:val="Table Body Text Right"/>
    <w:basedOn w:val="TableBodyText"/>
    <w:rsid w:val="008D7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571"/>
    <w:rPr>
      <w:sz w:val="18"/>
    </w:rPr>
  </w:style>
  <w:style w:type="paragraph" w:customStyle="1" w:styleId="BodySmallRight">
    <w:name w:val="Body Small Right"/>
    <w:basedOn w:val="BodyTextRight"/>
    <w:rsid w:val="008D7571"/>
    <w:rPr>
      <w:sz w:val="18"/>
      <w:szCs w:val="18"/>
    </w:rPr>
  </w:style>
  <w:style w:type="paragraph" w:customStyle="1" w:styleId="MarginEdition">
    <w:name w:val="Margin Edition"/>
    <w:basedOn w:val="MarginNote"/>
    <w:rsid w:val="008D7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571"/>
    <w:rPr>
      <w:sz w:val="2"/>
      <w:szCs w:val="2"/>
    </w:rPr>
  </w:style>
  <w:style w:type="character" w:customStyle="1" w:styleId="Small">
    <w:name w:val="Small"/>
    <w:basedOn w:val="DefaultParagraphFont"/>
    <w:rsid w:val="008D7571"/>
    <w:rPr>
      <w:sz w:val="16"/>
    </w:rPr>
  </w:style>
  <w:style w:type="paragraph" w:customStyle="1" w:styleId="WideTable">
    <w:name w:val="Wide Table"/>
    <w:basedOn w:val="Normal"/>
    <w:rsid w:val="008D7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571"/>
  </w:style>
  <w:style w:type="paragraph" w:styleId="Quote">
    <w:name w:val="Quote"/>
    <w:basedOn w:val="Heading1"/>
    <w:link w:val="QuoteChar"/>
    <w:qFormat/>
    <w:rsid w:val="008D7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571"/>
    <w:pPr>
      <w:pageBreakBefore/>
    </w:pPr>
  </w:style>
  <w:style w:type="paragraph" w:customStyle="1" w:styleId="Border">
    <w:name w:val="Border"/>
    <w:basedOn w:val="Normal"/>
    <w:qFormat/>
    <w:rsid w:val="008D7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571"/>
    <w:rPr>
      <w:u w:val="single"/>
    </w:rPr>
  </w:style>
  <w:style w:type="character" w:customStyle="1" w:styleId="BoldandItalics">
    <w:name w:val="Bold and Italics"/>
    <w:qFormat/>
    <w:rsid w:val="008D7571"/>
    <w:rPr>
      <w:b/>
      <w:i/>
      <w:u w:val="none"/>
    </w:rPr>
  </w:style>
  <w:style w:type="paragraph" w:styleId="BalloonText">
    <w:name w:val="Balloon Text"/>
    <w:basedOn w:val="Normal"/>
    <w:link w:val="BalloonTextChar"/>
    <w:rsid w:val="008D7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571"/>
    <w:pPr>
      <w:spacing w:before="0" w:after="0"/>
    </w:pPr>
  </w:style>
  <w:style w:type="paragraph" w:customStyle="1" w:styleId="BodyTextBold">
    <w:name w:val="Body Text Bold"/>
    <w:basedOn w:val="BodyText"/>
    <w:qFormat/>
    <w:rsid w:val="008D7571"/>
    <w:rPr>
      <w:b/>
    </w:rPr>
  </w:style>
  <w:style w:type="character" w:styleId="Hyperlink">
    <w:name w:val="Hyperlink"/>
    <w:basedOn w:val="DefaultParagraphFont"/>
    <w:uiPriority w:val="99"/>
    <w:unhideWhenUsed/>
    <w:rsid w:val="00165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4152</Characters>
  <Application>Microsoft Office Word</Application>
  <DocSecurity>0</DocSecurity>
  <Lines>180</Lines>
  <Paragraphs>102</Paragraphs>
  <ScaleCrop>false</ScaleCrop>
  <Company>Author-it Software Corporation Ltd.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TLIB3021 Conduct train roll-by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