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79FA" w:rsidP="00CA79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TLIB3017 Assemble and dismantle boom or jib</w:t>
      </w:r>
      <w:r>
        <w:fldChar w:fldCharType="end"/>
      </w:r>
    </w:p>
    <w:p w:rsidR="00CA79FA" w:rsidP="00CA79FA">
      <w:pPr>
        <w:pStyle w:val="Version"/>
        <w:sectPr w:rsidSect="00BB2B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2B9E" w:rsidP="00BB2B9E">
      <w:pPr>
        <w:pStyle w:val="SuperHeading"/>
      </w:pPr>
      <w:r w:rsidRPr="00BB2B9E">
        <w:t>TLIB3017 Assemble and dismantle boom or jib</w:t>
      </w:r>
    </w:p>
    <w:p w:rsidR="00000000" w:rsidRPr="00BB2B9E" w:rsidP="00BB2B9E">
      <w:pPr>
        <w:pStyle w:val="Heading1"/>
      </w:pPr>
      <w:bookmarkStart w:id="1" w:name="O_841846"/>
      <w:bookmarkEnd w:id="1"/>
      <w:r w:rsidRPr="00BB2B9E">
        <w:t>Modification History</w:t>
      </w:r>
    </w:p>
    <w:p w:rsidR="00CA79FA" w:rsidP="00CA79FA">
      <w:pPr>
        <w:pStyle w:val="BodyText"/>
      </w:pPr>
      <w:r w:rsidRPr="00BB2B9E">
        <w:t>Release 1. This is the first release of this unit of competency in the TLI Transport and Logistics Training Package.</w:t>
      </w:r>
    </w:p>
    <w:p w:rsidR="00000000" w:rsidRPr="00BB2B9E" w:rsidP="00BB2B9E">
      <w:pPr>
        <w:pStyle w:val="Heading1"/>
      </w:pPr>
      <w:bookmarkStart w:id="2" w:name="O_841847"/>
      <w:bookmarkEnd w:id="2"/>
      <w:r w:rsidRPr="00BB2B9E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B2B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B9E" w:rsidP="00BB2B9E">
            <w:pPr>
              <w:pStyle w:val="BodyText"/>
            </w:pPr>
            <w:r w:rsidRPr="00BB2B9E">
              <w:t>This unit involves the skills and knowledge required to assemble and dismantle a boom an</w:t>
            </w:r>
            <w:r w:rsidRPr="00BB2B9E">
              <w:t>d jib on a lattice boom mobile crane, in accordance with licence/permit requirements and regulations, in a variety of operational contexts</w:t>
            </w:r>
          </w:p>
          <w:p w:rsidR="00000000" w:rsidRPr="00BB2B9E" w:rsidP="00BB2B9E">
            <w:pPr>
              <w:pStyle w:val="BodyText"/>
            </w:pPr>
            <w:r w:rsidRPr="00BB2B9E">
              <w:t>It includes planning assembly/dismantling and following correct procedures for boom/jib assembly and disassembly.</w:t>
            </w:r>
          </w:p>
          <w:p w:rsidR="00000000" w:rsidRPr="00BB2B9E" w:rsidP="00BB2B9E">
            <w:pPr>
              <w:pStyle w:val="BodyText"/>
            </w:pPr>
            <w:r w:rsidRPr="00BB2B9E">
              <w:t>Wor</w:t>
            </w:r>
            <w:r w:rsidRPr="00BB2B9E">
              <w:t>k is performed under general supervision, with duty of care responsibility for self and others in achieving the prescribed outcomes.</w:t>
            </w:r>
          </w:p>
          <w:p w:rsidR="00000000" w:rsidRPr="00BB2B9E" w:rsidP="00BB2B9E">
            <w:pPr>
              <w:pStyle w:val="BodyText"/>
            </w:pPr>
            <w:r w:rsidRPr="00BB2B9E">
              <w:t>No licensing, legislative or certification requirements apply to this unit at the time of publication.</w:t>
            </w:r>
          </w:p>
        </w:tc>
      </w:tr>
    </w:tbl>
    <w:p w:rsidR="00CA79FA" w:rsidP="00BB2B9E">
      <w:pPr>
        <w:pStyle w:val="BodyText"/>
      </w:pPr>
    </w:p>
    <w:p w:rsidR="00CA79FA" w:rsidP="00BB2B9E">
      <w:pPr>
        <w:pStyle w:val="BodyText"/>
      </w:pPr>
    </w:p>
    <w:p w:rsidR="00000000" w:rsidRPr="00BB2B9E" w:rsidP="00BB2B9E">
      <w:pPr>
        <w:pStyle w:val="Heading1"/>
      </w:pPr>
      <w:bookmarkStart w:id="3" w:name="O_841848"/>
      <w:bookmarkEnd w:id="3"/>
      <w:r w:rsidRPr="00BB2B9E">
        <w:t>Pre-requisite Unit</w:t>
      </w:r>
    </w:p>
    <w:p w:rsidR="00CA79FA" w:rsidP="00CA79FA">
      <w:pPr>
        <w:pStyle w:val="BodyText"/>
      </w:pPr>
      <w:r w:rsidRPr="00BB2B9E">
        <w:t>Not applicable.</w:t>
      </w:r>
    </w:p>
    <w:p w:rsidR="00000000" w:rsidRPr="00BB2B9E" w:rsidP="00BB2B9E">
      <w:pPr>
        <w:pStyle w:val="Heading1"/>
      </w:pPr>
      <w:bookmarkStart w:id="4" w:name="O_841849"/>
      <w:bookmarkEnd w:id="4"/>
      <w:r w:rsidRPr="00BB2B9E">
        <w:t>Competency Field</w:t>
      </w:r>
    </w:p>
    <w:p w:rsidR="00CA79FA" w:rsidP="00CA79FA">
      <w:pPr>
        <w:pStyle w:val="BodyText"/>
      </w:pPr>
      <w:r w:rsidRPr="00BB2B9E">
        <w:t>B – Equipment Checking and Maintenance</w:t>
      </w:r>
    </w:p>
    <w:p w:rsidR="00000000" w:rsidRPr="00BB2B9E" w:rsidP="00BB2B9E">
      <w:pPr>
        <w:pStyle w:val="Heading1"/>
      </w:pPr>
      <w:bookmarkStart w:id="5" w:name="O_841850"/>
      <w:bookmarkEnd w:id="5"/>
      <w:r w:rsidRPr="00BB2B9E">
        <w:t>Unit Sector</w:t>
      </w:r>
    </w:p>
    <w:p w:rsidR="00CA79FA" w:rsidP="00CA79FA">
      <w:pPr>
        <w:pStyle w:val="BodyText"/>
      </w:pPr>
      <w:r w:rsidRPr="00BB2B9E">
        <w:t>Not applicable.</w:t>
      </w:r>
    </w:p>
    <w:p w:rsidR="00000000" w:rsidRPr="00BB2B9E" w:rsidP="00BB2B9E">
      <w:pPr>
        <w:pStyle w:val="Heading1"/>
      </w:pPr>
      <w:bookmarkStart w:id="6" w:name="O_841851"/>
      <w:bookmarkEnd w:id="6"/>
      <w:r w:rsidRPr="00BB2B9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3"/>
        <w:gridCol w:w="81"/>
        <w:gridCol w:w="591"/>
        <w:gridCol w:w="5821"/>
      </w:tblGrid>
      <w:tr w:rsidTr="00CA79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B9E" w:rsidP="00BB2B9E">
            <w:pPr>
              <w:pStyle w:val="BodyText"/>
            </w:pPr>
            <w:r w:rsidRPr="00BB2B9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B9E">
            <w:pPr>
              <w:pStyle w:val="BodyText"/>
              <w:rPr>
                <w:lang w:val="en-NZ"/>
              </w:rPr>
            </w:pPr>
            <w:r w:rsidRPr="00BB2B9E">
              <w:rPr>
                <w:rStyle w:val="SpecialBold"/>
              </w:rPr>
              <w:t>PERFORMANCE CRITERIA</w:t>
            </w:r>
          </w:p>
        </w:tc>
      </w:tr>
      <w:tr w:rsidTr="00CA79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B9E">
            <w:pPr>
              <w:pStyle w:val="BodyText"/>
              <w:rPr>
                <w:lang w:val="en-NZ"/>
              </w:rPr>
            </w:pPr>
            <w:r w:rsidRPr="00BB2B9E">
              <w:t xml:space="preserve">Elements describe the </w:t>
            </w:r>
            <w:r w:rsidRPr="00BB2B9E">
              <w:t>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B9E">
            <w:pPr>
              <w:pStyle w:val="BodyText"/>
              <w:rPr>
                <w:lang w:val="en-NZ"/>
              </w:rPr>
            </w:pPr>
            <w:r w:rsidRPr="00BB2B9E">
              <w:t xml:space="preserve">Performance criteria describe the performance needed to demonstrate </w:t>
            </w:r>
            <w:r w:rsidRPr="00BB2B9E">
              <w:t>achievement of the element.</w:t>
            </w:r>
          </w:p>
        </w:tc>
      </w:tr>
      <w:tr w:rsidTr="00CA79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B9E">
            <w:pPr>
              <w:pStyle w:val="BodyText"/>
              <w:rPr>
                <w:lang w:val="en-NZ"/>
              </w:rPr>
            </w:pPr>
            <w:r w:rsidRPr="00BB2B9E">
              <w:rPr>
                <w:rStyle w:val="SpecialBold"/>
              </w:rPr>
              <w:t>1  Plan assembly/dismantling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B9E">
            <w:pPr>
              <w:pStyle w:val="BodyText"/>
              <w:rPr>
                <w:lang w:val="en-NZ"/>
              </w:rPr>
            </w:pPr>
            <w:r w:rsidRPr="00BB2B9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B9E">
            <w:pPr>
              <w:pStyle w:val="BodyText"/>
              <w:rPr>
                <w:lang w:val="en-NZ"/>
              </w:rPr>
            </w:pPr>
            <w:r w:rsidRPr="00BB2B9E">
              <w:t>Job hazards are identified and required action is taken to minimise, control or e</w:t>
            </w:r>
            <w:r w:rsidRPr="00BB2B9E">
              <w:t>liminate identified hazards</w:t>
            </w:r>
          </w:p>
        </w:tc>
      </w:tr>
      <w:tr w:rsidTr="00CA79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B9E">
            <w:pPr>
              <w:pStyle w:val="BodyText"/>
              <w:rPr>
                <w:lang w:val="en-NZ"/>
              </w:rPr>
            </w:pPr>
            <w:r w:rsidRPr="00BB2B9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B9E">
            <w:pPr>
              <w:pStyle w:val="BodyText"/>
              <w:rPr>
                <w:lang w:val="en-NZ"/>
              </w:rPr>
            </w:pPr>
            <w:r w:rsidRPr="00BB2B9E">
              <w:t xml:space="preserve">Level as is possible and unobstructed site is selected to assemble/dismantle boom and/or jib </w:t>
            </w:r>
          </w:p>
        </w:tc>
      </w:tr>
      <w:tr w:rsidTr="00CA79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B9E">
            <w:pPr>
              <w:pStyle w:val="BodyText"/>
              <w:rPr>
                <w:lang w:val="en-NZ"/>
              </w:rPr>
            </w:pPr>
            <w:r w:rsidRPr="00BB2B9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B9E">
            <w:pPr>
              <w:pStyle w:val="BodyText"/>
              <w:rPr>
                <w:lang w:val="en-NZ"/>
              </w:rPr>
            </w:pPr>
            <w:r w:rsidRPr="00BB2B9E">
              <w:t>Plan for crane assembly and dismantling is develo</w:t>
            </w:r>
            <w:r w:rsidRPr="00BB2B9E">
              <w:t xml:space="preserve">ped in accordance with appropriate Australian Standard, other statutory regulations, licensing requirements and manufacturer specifications </w:t>
            </w:r>
          </w:p>
        </w:tc>
      </w:tr>
      <w:tr w:rsidTr="00CA79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B9E">
            <w:pPr>
              <w:pStyle w:val="BodyText"/>
              <w:rPr>
                <w:lang w:val="en-NZ"/>
              </w:rPr>
            </w:pPr>
            <w:r w:rsidRPr="00BB2B9E">
              <w:rPr>
                <w:rStyle w:val="SpecialBold"/>
              </w:rPr>
              <w:t>2  Assemble/dismantle boom or jib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B9E">
            <w:pPr>
              <w:pStyle w:val="BodyText"/>
              <w:rPr>
                <w:lang w:val="en-NZ"/>
              </w:rPr>
            </w:pPr>
            <w:r w:rsidRPr="00BB2B9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B9E">
            <w:pPr>
              <w:pStyle w:val="BodyText"/>
              <w:rPr>
                <w:lang w:val="en-NZ"/>
              </w:rPr>
            </w:pPr>
            <w:r w:rsidRPr="00BB2B9E">
              <w:t xml:space="preserve">Equipment, including personal protective </w:t>
            </w:r>
            <w:r w:rsidRPr="00BB2B9E">
              <w:t>equipment, is assembled and used as appropriate for task requirements</w:t>
            </w:r>
          </w:p>
        </w:tc>
      </w:tr>
      <w:tr w:rsidTr="00CA79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B9E">
            <w:pPr>
              <w:pStyle w:val="BodyText"/>
              <w:rPr>
                <w:lang w:val="en-NZ"/>
              </w:rPr>
            </w:pPr>
            <w:r w:rsidRPr="00BB2B9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B9E">
            <w:pPr>
              <w:pStyle w:val="BodyText"/>
              <w:rPr>
                <w:lang w:val="en-NZ"/>
              </w:rPr>
            </w:pPr>
            <w:r w:rsidRPr="00BB2B9E">
              <w:t>Plan for assembly or dismantling of boom/jib is carried out in accordance with manufacturer specifications, appropriate Australian Standards and other relevant statutory regulatio</w:t>
            </w:r>
            <w:r w:rsidRPr="00BB2B9E">
              <w:t>ns and guides</w:t>
            </w:r>
          </w:p>
        </w:tc>
      </w:tr>
      <w:tr w:rsidTr="00CA79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B9E">
            <w:pPr>
              <w:pStyle w:val="BodyText"/>
              <w:rPr>
                <w:lang w:val="en-NZ"/>
              </w:rPr>
            </w:pPr>
            <w:r w:rsidRPr="00BB2B9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B9E">
            <w:pPr>
              <w:pStyle w:val="BodyText"/>
              <w:rPr>
                <w:lang w:val="en-NZ"/>
              </w:rPr>
            </w:pPr>
            <w:r w:rsidRPr="00BB2B9E">
              <w:t>All connections on boom and jib pendants and rope anchorages are checked before boom is raised, to ensure they are in good order, tight and secure</w:t>
            </w:r>
          </w:p>
        </w:tc>
      </w:tr>
      <w:tr w:rsidTr="00CA79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B9E">
            <w:pPr>
              <w:pStyle w:val="BodyText"/>
              <w:rPr>
                <w:lang w:val="en-NZ"/>
              </w:rPr>
            </w:pPr>
            <w:r w:rsidRPr="00BB2B9E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B9E" w:rsidP="00BB2B9E">
            <w:pPr>
              <w:pStyle w:val="BodyText"/>
            </w:pPr>
            <w:r w:rsidRPr="00BB2B9E">
              <w:t>Documentation is completed in accordance with workplace procedures</w:t>
            </w:r>
          </w:p>
        </w:tc>
      </w:tr>
    </w:tbl>
    <w:p w:rsidR="00CA79FA" w:rsidP="00BB2B9E">
      <w:pPr>
        <w:pStyle w:val="BodyText"/>
      </w:pPr>
    </w:p>
    <w:p w:rsidR="00CA79FA" w:rsidP="00BB2B9E">
      <w:pPr>
        <w:pStyle w:val="BodyText"/>
      </w:pPr>
    </w:p>
    <w:p w:rsidR="00000000" w:rsidRPr="00BB2B9E" w:rsidP="00BB2B9E">
      <w:pPr>
        <w:pStyle w:val="Heading1"/>
      </w:pPr>
      <w:bookmarkStart w:id="7" w:name="O_841852"/>
      <w:bookmarkEnd w:id="7"/>
      <w:r w:rsidRPr="00BB2B9E">
        <w:t>Foundation Skills</w:t>
      </w:r>
    </w:p>
    <w:p w:rsidR="00CA79FA" w:rsidP="00CA79FA">
      <w:pPr>
        <w:pStyle w:val="BodyText"/>
      </w:pPr>
      <w:r w:rsidRPr="00BB2B9E">
        <w:t>Foundation skills essential to performance are explicit in the performance criteria of this unit of competency.</w:t>
      </w:r>
    </w:p>
    <w:p w:rsidR="00000000" w:rsidRPr="00BB2B9E" w:rsidP="00BB2B9E">
      <w:pPr>
        <w:pStyle w:val="Heading1"/>
      </w:pPr>
      <w:bookmarkStart w:id="8" w:name="O_841853"/>
      <w:bookmarkEnd w:id="8"/>
      <w:r w:rsidRPr="00BB2B9E">
        <w:t>Range of Conditions</w:t>
      </w:r>
    </w:p>
    <w:p w:rsidR="00000000" w:rsidRPr="00BB2B9E" w:rsidP="00CA79FA">
      <w:pPr>
        <w:pStyle w:val="BodyText"/>
      </w:pPr>
      <w:r w:rsidRPr="00BB2B9E">
        <w:t>Range is restricted to essential operating conditions and any other variables es</w:t>
      </w:r>
      <w:r w:rsidRPr="00BB2B9E">
        <w:t>sential to the work environment.</w:t>
      </w:r>
    </w:p>
    <w:p w:rsidR="00CA79FA" w:rsidP="00CA79FA">
      <w:pPr>
        <w:pStyle w:val="BodyText"/>
      </w:pPr>
      <w:r w:rsidRPr="00BB2B9E">
        <w:t>Non-essential conditions can be found in the Companion Volume Implementation Guide.</w:t>
      </w:r>
    </w:p>
    <w:p w:rsidR="00000000" w:rsidRPr="00BB2B9E" w:rsidP="00BB2B9E">
      <w:pPr>
        <w:pStyle w:val="Heading1"/>
      </w:pPr>
      <w:bookmarkStart w:id="9" w:name="O_841854"/>
      <w:bookmarkEnd w:id="9"/>
      <w:r w:rsidRPr="00BB2B9E">
        <w:t>Unit Mapping Information</w:t>
      </w:r>
    </w:p>
    <w:p w:rsidR="00CA79FA" w:rsidP="00CA79FA">
      <w:pPr>
        <w:pStyle w:val="BodyText"/>
      </w:pPr>
      <w:r w:rsidRPr="00BB2B9E">
        <w:t>This unit replaces and is equivalent to TLIB3017A Assemble and dismantle boom or jib.</w:t>
      </w:r>
    </w:p>
    <w:p w:rsidR="00000000" w:rsidRPr="00BB2B9E" w:rsidP="00BB2B9E">
      <w:pPr>
        <w:pStyle w:val="Heading1"/>
      </w:pPr>
      <w:bookmarkStart w:id="10" w:name="O_841861"/>
      <w:bookmarkEnd w:id="10"/>
      <w:r w:rsidRPr="00BB2B9E">
        <w:t>Links</w:t>
      </w:r>
    </w:p>
    <w:p w:rsidR="00000000" w:rsidRPr="00BB2B9E" w:rsidP="00CA79FA">
      <w:pPr>
        <w:pStyle w:val="BodyText"/>
      </w:pPr>
      <w:r w:rsidRPr="00BB2B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D4B9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B2B9E" w:rsidP="00BB2B9E"/>
    <w:sectPr w:rsidSect="00BB2B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B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B9E" w:rsidRPr="00CA79FA" w:rsidP="00CA79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B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9FA" w:rsidP="00BB2B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79FA" w:rsidP="00BB2B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A79FA" w:rsidP="00BB2B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B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9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2B9E" w:rsidRPr="00CA79FA" w:rsidP="00CA79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B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9FA" w:rsidRPr="002D2AF8" w:rsidP="00BB2B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TLIB3017 Assemble and dismantle boom or jib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CA79FA" w:rsidP="00BB2B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B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2B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2B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2B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2B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2B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2B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2B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2B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2B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2B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2B9E"/>
  </w:style>
  <w:style w:type="character" w:customStyle="1" w:styleId="Heading1Char">
    <w:name w:val="Heading 1 Char"/>
    <w:basedOn w:val="DefaultParagraphFont"/>
    <w:link w:val="Heading1"/>
    <w:rsid w:val="00BB2B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2B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2B9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B2B9E"/>
    <w:rPr>
      <w:b/>
      <w:spacing w:val="0"/>
    </w:rPr>
  </w:style>
  <w:style w:type="paragraph" w:customStyle="1" w:styleId="SuperHeading">
    <w:name w:val="SuperHeading"/>
    <w:basedOn w:val="Normal"/>
    <w:rsid w:val="00BB2B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2B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2B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2B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2B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2B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2B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2B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2B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2B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2B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2B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2B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2B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2B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2B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2B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2B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2B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2B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2B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2B9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B2B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2B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2B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2B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2B9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2B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2B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2B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2B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2B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2B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2B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2B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2B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2B9E"/>
    <w:rPr>
      <w:i/>
    </w:rPr>
  </w:style>
  <w:style w:type="paragraph" w:styleId="Caption">
    <w:name w:val="caption"/>
    <w:basedOn w:val="BodyText"/>
    <w:next w:val="Normal"/>
    <w:qFormat/>
    <w:rsid w:val="00BB2B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2B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2B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2B9E"/>
  </w:style>
  <w:style w:type="paragraph" w:styleId="TableofFigures">
    <w:name w:val="table of figures"/>
    <w:basedOn w:val="Normal"/>
    <w:next w:val="Normal"/>
    <w:semiHidden/>
    <w:rsid w:val="00BB2B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2B9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B2B9E"/>
    <w:rPr>
      <w:rFonts w:ascii="Wingdings" w:hAnsi="Wingdings"/>
    </w:rPr>
  </w:style>
  <w:style w:type="paragraph" w:customStyle="1" w:styleId="TableHeading">
    <w:name w:val="Table Heading"/>
    <w:basedOn w:val="HeadingBase"/>
    <w:rsid w:val="00BB2B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2B9E"/>
    <w:rPr>
      <w:color w:val="0033CC"/>
      <w:u w:val="none"/>
    </w:rPr>
  </w:style>
  <w:style w:type="paragraph" w:customStyle="1" w:styleId="BodyTextRight">
    <w:name w:val="Body Text Right"/>
    <w:basedOn w:val="BodyText"/>
    <w:rsid w:val="00BB2B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2B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2B9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2B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2B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2B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2B9E"/>
    <w:rPr>
      <w:sz w:val="32"/>
    </w:rPr>
  </w:style>
  <w:style w:type="paragraph" w:customStyle="1" w:styleId="HeadingProcedure">
    <w:name w:val="Heading Procedure"/>
    <w:basedOn w:val="HeadingBase"/>
    <w:next w:val="Normal"/>
    <w:rsid w:val="00BB2B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2B9E"/>
    <w:pPr>
      <w:spacing w:before="60" w:after="60"/>
    </w:pPr>
  </w:style>
  <w:style w:type="paragraph" w:styleId="ListContinue">
    <w:name w:val="List Continue"/>
    <w:basedOn w:val="List"/>
    <w:rsid w:val="00BB2B9E"/>
    <w:pPr>
      <w:ind w:firstLine="0"/>
    </w:pPr>
  </w:style>
  <w:style w:type="paragraph" w:customStyle="1" w:styleId="ListNote">
    <w:name w:val="List Note"/>
    <w:basedOn w:val="List"/>
    <w:rsid w:val="00BB2B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2B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2B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2B9E"/>
    <w:rPr>
      <w:rFonts w:ascii="Courier New" w:hAnsi="Courier New"/>
    </w:rPr>
  </w:style>
  <w:style w:type="paragraph" w:customStyle="1" w:styleId="NoteBullet">
    <w:name w:val="Note Bullet"/>
    <w:basedOn w:val="Note"/>
    <w:rsid w:val="00BB2B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2B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2B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2B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2B9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B2B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2B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2B9E"/>
    <w:rPr>
      <w:b/>
      <w:smallCaps/>
    </w:rPr>
  </w:style>
  <w:style w:type="paragraph" w:customStyle="1" w:styleId="TableListNumber">
    <w:name w:val="Table List Number"/>
    <w:basedOn w:val="ListNumber"/>
    <w:rsid w:val="00BB2B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2B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2B9E"/>
    <w:pPr>
      <w:numPr>
        <w:numId w:val="7"/>
      </w:numPr>
    </w:pPr>
  </w:style>
  <w:style w:type="paragraph" w:customStyle="1" w:styleId="ListAlpha2">
    <w:name w:val="List Alpha 2"/>
    <w:basedOn w:val="List2"/>
    <w:rsid w:val="00BB2B9E"/>
    <w:pPr>
      <w:numPr>
        <w:numId w:val="6"/>
      </w:numPr>
    </w:pPr>
  </w:style>
  <w:style w:type="paragraph" w:styleId="List2">
    <w:name w:val="List 2"/>
    <w:basedOn w:val="BodyText"/>
    <w:rsid w:val="00BB2B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2B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2B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2B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2B9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2B9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B2B9E"/>
    <w:pPr>
      <w:numPr>
        <w:numId w:val="2"/>
      </w:numPr>
    </w:pPr>
  </w:style>
  <w:style w:type="paragraph" w:styleId="ListContinue2">
    <w:name w:val="List Continue 2"/>
    <w:basedOn w:val="List2"/>
    <w:rsid w:val="00BB2B9E"/>
    <w:pPr>
      <w:ind w:firstLine="0"/>
    </w:pPr>
  </w:style>
  <w:style w:type="paragraph" w:styleId="ListContinue3">
    <w:name w:val="List Continue 3"/>
    <w:basedOn w:val="List3"/>
    <w:rsid w:val="00BB2B9E"/>
    <w:pPr>
      <w:ind w:left="1021" w:firstLine="0"/>
    </w:pPr>
  </w:style>
  <w:style w:type="paragraph" w:styleId="ListContinue4">
    <w:name w:val="List Continue 4"/>
    <w:basedOn w:val="List4"/>
    <w:rsid w:val="00BB2B9E"/>
    <w:pPr>
      <w:ind w:firstLine="0"/>
    </w:pPr>
  </w:style>
  <w:style w:type="paragraph" w:styleId="ListContinue5">
    <w:name w:val="List Continue 5"/>
    <w:basedOn w:val="List5"/>
    <w:rsid w:val="00BB2B9E"/>
    <w:pPr>
      <w:ind w:firstLine="0"/>
    </w:pPr>
  </w:style>
  <w:style w:type="paragraph" w:styleId="ListNumber3">
    <w:name w:val="List Number 3"/>
    <w:basedOn w:val="List3"/>
    <w:rsid w:val="00BB2B9E"/>
    <w:pPr>
      <w:numPr>
        <w:numId w:val="3"/>
      </w:numPr>
    </w:pPr>
  </w:style>
  <w:style w:type="paragraph" w:styleId="ListNumber4">
    <w:name w:val="List Number 4"/>
    <w:basedOn w:val="List4"/>
    <w:rsid w:val="00BB2B9E"/>
    <w:pPr>
      <w:numPr>
        <w:numId w:val="4"/>
      </w:numPr>
    </w:pPr>
  </w:style>
  <w:style w:type="paragraph" w:styleId="ListNumber5">
    <w:name w:val="List Number 5"/>
    <w:basedOn w:val="List5"/>
    <w:rsid w:val="00BB2B9E"/>
    <w:pPr>
      <w:numPr>
        <w:numId w:val="5"/>
      </w:numPr>
    </w:pPr>
  </w:style>
  <w:style w:type="paragraph" w:styleId="BlockText">
    <w:name w:val="Block Text"/>
    <w:basedOn w:val="Normal"/>
    <w:rsid w:val="00BB2B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2B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2B9E"/>
    <w:rPr>
      <w:sz w:val="16"/>
      <w:vertAlign w:val="superscript"/>
    </w:rPr>
  </w:style>
  <w:style w:type="character" w:customStyle="1" w:styleId="Symbols">
    <w:name w:val="Symbols"/>
    <w:basedOn w:val="DefaultParagraphFont"/>
    <w:rsid w:val="00BB2B9E"/>
    <w:rPr>
      <w:rFonts w:ascii="Symbol" w:hAnsi="Symbol"/>
    </w:rPr>
  </w:style>
  <w:style w:type="character" w:customStyle="1" w:styleId="MenuOptions">
    <w:name w:val="Menu Options"/>
    <w:basedOn w:val="DefaultParagraphFont"/>
    <w:rsid w:val="00BB2B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2B9E"/>
    <w:rPr>
      <w:b/>
    </w:rPr>
  </w:style>
  <w:style w:type="character" w:customStyle="1" w:styleId="Underlined">
    <w:name w:val="Underlined"/>
    <w:basedOn w:val="DefaultParagraphFont"/>
    <w:rsid w:val="00BB2B9E"/>
    <w:rPr>
      <w:u w:val="single"/>
    </w:rPr>
  </w:style>
  <w:style w:type="paragraph" w:customStyle="1" w:styleId="TableBodyTextRight">
    <w:name w:val="Table Body Text Right"/>
    <w:basedOn w:val="TableBodyText"/>
    <w:rsid w:val="00BB2B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2B9E"/>
    <w:rPr>
      <w:sz w:val="18"/>
    </w:rPr>
  </w:style>
  <w:style w:type="paragraph" w:customStyle="1" w:styleId="BodySmallRight">
    <w:name w:val="Body Small Right"/>
    <w:basedOn w:val="BodyTextRight"/>
    <w:rsid w:val="00BB2B9E"/>
    <w:rPr>
      <w:sz w:val="18"/>
      <w:szCs w:val="18"/>
    </w:rPr>
  </w:style>
  <w:style w:type="paragraph" w:customStyle="1" w:styleId="MarginEdition">
    <w:name w:val="Margin Edition"/>
    <w:basedOn w:val="MarginNote"/>
    <w:rsid w:val="00BB2B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2B9E"/>
    <w:rPr>
      <w:sz w:val="2"/>
      <w:szCs w:val="2"/>
    </w:rPr>
  </w:style>
  <w:style w:type="character" w:customStyle="1" w:styleId="Small">
    <w:name w:val="Small"/>
    <w:basedOn w:val="DefaultParagraphFont"/>
    <w:rsid w:val="00BB2B9E"/>
    <w:rPr>
      <w:sz w:val="16"/>
    </w:rPr>
  </w:style>
  <w:style w:type="paragraph" w:customStyle="1" w:styleId="WideTable">
    <w:name w:val="Wide Table"/>
    <w:basedOn w:val="Normal"/>
    <w:rsid w:val="00BB2B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2B9E"/>
  </w:style>
  <w:style w:type="paragraph" w:styleId="Quote">
    <w:name w:val="Quote"/>
    <w:basedOn w:val="Heading1"/>
    <w:link w:val="QuoteChar"/>
    <w:qFormat/>
    <w:rsid w:val="00BB2B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2B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2B9E"/>
    <w:pPr>
      <w:pageBreakBefore/>
    </w:pPr>
  </w:style>
  <w:style w:type="paragraph" w:customStyle="1" w:styleId="Border">
    <w:name w:val="Border"/>
    <w:basedOn w:val="Normal"/>
    <w:qFormat/>
    <w:rsid w:val="00BB2B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2B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B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B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2B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2B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2B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2B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2B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2B9E"/>
    <w:rPr>
      <w:u w:val="single"/>
    </w:rPr>
  </w:style>
  <w:style w:type="character" w:customStyle="1" w:styleId="BoldandItalics">
    <w:name w:val="Bold and Italics"/>
    <w:qFormat/>
    <w:rsid w:val="00BB2B9E"/>
    <w:rPr>
      <w:b/>
      <w:i/>
      <w:u w:val="none"/>
    </w:rPr>
  </w:style>
  <w:style w:type="paragraph" w:styleId="BalloonText">
    <w:name w:val="Balloon Text"/>
    <w:basedOn w:val="Normal"/>
    <w:link w:val="BalloonTextChar"/>
    <w:rsid w:val="00BB2B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2B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2B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2B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2B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2B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2B9E"/>
    <w:pPr>
      <w:spacing w:before="0" w:after="0"/>
    </w:pPr>
  </w:style>
  <w:style w:type="paragraph" w:customStyle="1" w:styleId="BodyTextBold">
    <w:name w:val="Body Text Bold"/>
    <w:basedOn w:val="BodyText"/>
    <w:qFormat/>
    <w:rsid w:val="00BB2B9E"/>
    <w:rPr>
      <w:b/>
    </w:rPr>
  </w:style>
  <w:style w:type="character" w:styleId="Hyperlink">
    <w:name w:val="Hyperlink"/>
    <w:basedOn w:val="DefaultParagraphFont"/>
    <w:uiPriority w:val="99"/>
    <w:unhideWhenUsed/>
    <w:rsid w:val="00CA79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403</Words>
  <Characters>2549</Characters>
  <Application>Microsoft Office Word</Application>
  <DocSecurity>0</DocSecurity>
  <Lines>94</Lines>
  <Paragraphs>56</Paragraphs>
  <ScaleCrop>false</ScaleCrop>
  <Company>Author-it Software Corporation Ltd.</Company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TLIB3017 Assemble and dismantle boom or jib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2021-04-12T02:38:00Z</dcterms:created>
  <dcterms:modified xsi:type="dcterms:W3CDTF">2021-04-12T02:38:00Z</dcterms:modified>
</cp:coreProperties>
</file>