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83C" w:rsidP="00E0083C">
      <w:pPr>
        <w:pStyle w:val="Title"/>
      </w:pPr>
      <w:r>
        <w:fldChar w:fldCharType="begin"/>
      </w:r>
      <w:r>
        <w:instrText xml:space="preserve"> TITLE   \* MERGEFORMAT </w:instrText>
      </w:r>
      <w:r>
        <w:fldChar w:fldCharType="separate"/>
      </w:r>
      <w:r>
        <w:t>TLIB3016 De-rig, pack and store tools and equipment</w:t>
      </w:r>
      <w:r>
        <w:fldChar w:fldCharType="end"/>
      </w:r>
    </w:p>
    <w:p w:rsidR="00E0083C" w:rsidP="00E0083C">
      <w:pPr>
        <w:pStyle w:val="Version"/>
        <w:sectPr w:rsidSect="000D44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4B4" w:rsidP="000D44B4">
      <w:pPr>
        <w:pStyle w:val="SuperHeading"/>
      </w:pPr>
      <w:r w:rsidRPr="000D44B4">
        <w:t>TLIB3016 De-rig, pack and store tools and equipment</w:t>
      </w:r>
    </w:p>
    <w:p w:rsidR="00000000" w:rsidRPr="000D44B4" w:rsidP="000D44B4">
      <w:pPr>
        <w:pStyle w:val="Heading1"/>
      </w:pPr>
      <w:bookmarkStart w:id="1" w:name="O_841827"/>
      <w:bookmarkEnd w:id="1"/>
      <w:r w:rsidRPr="000D44B4">
        <w:t>Modification History</w:t>
      </w:r>
    </w:p>
    <w:p w:rsidR="00E0083C" w:rsidP="00E0083C">
      <w:pPr>
        <w:pStyle w:val="BodyText"/>
      </w:pPr>
      <w:r w:rsidRPr="000D44B4">
        <w:t>Release 1. This is the first release of this unit of competency in the TLI Transport and Logistics Training Package.</w:t>
      </w:r>
    </w:p>
    <w:p w:rsidR="00000000" w:rsidRPr="000D44B4" w:rsidP="000D44B4">
      <w:pPr>
        <w:pStyle w:val="Heading1"/>
      </w:pPr>
      <w:bookmarkStart w:id="2" w:name="O_841828"/>
      <w:bookmarkEnd w:id="2"/>
      <w:r w:rsidRPr="000D44B4">
        <w:t>Application</w:t>
      </w:r>
    </w:p>
    <w:tbl>
      <w:tblPr>
        <w:tblW w:w="9498" w:type="dxa"/>
        <w:tblLayout w:type="fixed"/>
        <w:tblCellMar>
          <w:left w:w="62" w:type="dxa"/>
          <w:right w:w="62" w:type="dxa"/>
        </w:tblCellMar>
        <w:tblLook w:val="0000"/>
      </w:tblPr>
      <w:tblGrid>
        <w:gridCol w:w="9498"/>
      </w:tblGrid>
      <w:tr w:rsidTr="000D44B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D44B4" w:rsidP="000D44B4">
            <w:pPr>
              <w:pStyle w:val="BodyText"/>
            </w:pPr>
            <w:r w:rsidRPr="000D44B4">
              <w:t>This unit involves the skills and knowledge required to de-rig a mobile crane, a</w:t>
            </w:r>
            <w:r w:rsidRPr="000D44B4">
              <w:t>nd to pack and store tools and equipment in accordance with licence/permit requirements and regulations.</w:t>
            </w:r>
          </w:p>
          <w:p w:rsidR="00000000" w:rsidRPr="000D44B4" w:rsidP="000D44B4">
            <w:pPr>
              <w:pStyle w:val="BodyText"/>
            </w:pPr>
            <w:r w:rsidRPr="000D44B4">
              <w:t>It includes inspecting tools and equipment, securing outriggers, packing and storing tools and equipment, and completing necessary records.</w:t>
            </w:r>
          </w:p>
          <w:p w:rsidR="00000000" w:rsidRPr="000D44B4" w:rsidP="000D44B4">
            <w:pPr>
              <w:pStyle w:val="BodyText"/>
            </w:pPr>
            <w:r w:rsidRPr="000D44B4">
              <w:t>Work is per</w:t>
            </w:r>
            <w:r w:rsidRPr="000D44B4">
              <w:t xml:space="preserve">formed under general supervision, with some accountability and responsibility for self and others in achieving the prescribed outcomes. </w:t>
            </w:r>
          </w:p>
          <w:p w:rsidR="00000000" w:rsidRPr="000D44B4" w:rsidP="000D44B4">
            <w:pPr>
              <w:pStyle w:val="BodyText"/>
            </w:pPr>
            <w:r w:rsidRPr="000D44B4">
              <w:t>No licensing, legislative or certification requirements apply to this unit at the time of publication.</w:t>
            </w:r>
          </w:p>
        </w:tc>
      </w:tr>
    </w:tbl>
    <w:p w:rsidR="00E0083C" w:rsidP="000D44B4">
      <w:pPr>
        <w:pStyle w:val="BodyText"/>
      </w:pPr>
    </w:p>
    <w:p w:rsidR="00E0083C" w:rsidP="000D44B4">
      <w:pPr>
        <w:pStyle w:val="BodyText"/>
      </w:pPr>
    </w:p>
    <w:p w:rsidR="00000000" w:rsidRPr="000D44B4" w:rsidP="000D44B4">
      <w:pPr>
        <w:pStyle w:val="Heading1"/>
      </w:pPr>
      <w:bookmarkStart w:id="3" w:name="O_841829"/>
      <w:bookmarkEnd w:id="3"/>
      <w:r w:rsidRPr="000D44B4">
        <w:t>Pre-requisite Unit</w:t>
      </w:r>
    </w:p>
    <w:p w:rsidR="00E0083C" w:rsidP="00E0083C">
      <w:pPr>
        <w:pStyle w:val="BodyText"/>
      </w:pPr>
      <w:r w:rsidRPr="000D44B4">
        <w:t>Not applicable.</w:t>
      </w:r>
    </w:p>
    <w:p w:rsidR="00000000" w:rsidRPr="000D44B4" w:rsidP="000D44B4">
      <w:pPr>
        <w:pStyle w:val="Heading1"/>
      </w:pPr>
      <w:bookmarkStart w:id="4" w:name="O_841830"/>
      <w:bookmarkEnd w:id="4"/>
      <w:r w:rsidRPr="000D44B4">
        <w:t>Competency Field</w:t>
      </w:r>
    </w:p>
    <w:p w:rsidR="00E0083C" w:rsidP="00E0083C">
      <w:pPr>
        <w:pStyle w:val="BodyText"/>
      </w:pPr>
      <w:r w:rsidRPr="000D44B4">
        <w:t>B – Equipment Checking and Maintenance</w:t>
      </w:r>
    </w:p>
    <w:p w:rsidR="00000000" w:rsidRPr="000D44B4" w:rsidP="000D44B4">
      <w:pPr>
        <w:pStyle w:val="Heading1"/>
      </w:pPr>
      <w:bookmarkStart w:id="5" w:name="O_841831"/>
      <w:bookmarkEnd w:id="5"/>
      <w:r w:rsidRPr="000D44B4">
        <w:t>Unit Sector</w:t>
      </w:r>
    </w:p>
    <w:p w:rsidR="00E0083C" w:rsidP="00E0083C">
      <w:pPr>
        <w:pStyle w:val="BodyText"/>
      </w:pPr>
      <w:r w:rsidRPr="000D44B4">
        <w:t>Not applicable.</w:t>
      </w:r>
    </w:p>
    <w:p w:rsidR="00000000" w:rsidRPr="000D44B4" w:rsidP="000D44B4">
      <w:pPr>
        <w:pStyle w:val="Heading1"/>
      </w:pPr>
      <w:bookmarkStart w:id="6" w:name="O_841832"/>
      <w:bookmarkEnd w:id="6"/>
      <w:r w:rsidRPr="000D44B4">
        <w:t>Elements and Performance Criteria</w:t>
      </w:r>
    </w:p>
    <w:tbl>
      <w:tblPr>
        <w:tblW w:w="0" w:type="auto"/>
        <w:tblCellMar>
          <w:left w:w="62" w:type="dxa"/>
          <w:right w:w="62" w:type="dxa"/>
        </w:tblCellMar>
        <w:tblLook w:val="0000"/>
      </w:tblPr>
      <w:tblGrid>
        <w:gridCol w:w="371"/>
        <w:gridCol w:w="1977"/>
        <w:gridCol w:w="617"/>
        <w:gridCol w:w="6231"/>
      </w:tblGrid>
      <w:tr w:rsidTr="00E008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D44B4" w:rsidP="000D44B4">
            <w:pPr>
              <w:pStyle w:val="BodyText"/>
            </w:pPr>
            <w:r w:rsidRPr="000D44B4">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rPr>
                <w:rStyle w:val="SpecialBold"/>
              </w:rPr>
              <w:t>PERFORMANCE CRITERIA</w:t>
            </w:r>
          </w:p>
        </w:tc>
      </w:tr>
      <w:tr w:rsidTr="00E008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Performance criteria describe the performance needed to demonstrate achievement of the element.</w:t>
            </w:r>
          </w:p>
        </w:tc>
      </w:tr>
      <w:tr w:rsidTr="00E0083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D44B4" w:rsidP="000D44B4">
            <w:pPr>
              <w:pStyle w:val="BodyText"/>
            </w:pPr>
            <w:r w:rsidRPr="000D44B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rPr>
                <w:rStyle w:val="SpecialBold"/>
              </w:rPr>
              <w:t>Inspect tools and equipment</w:t>
            </w: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1.1</w:t>
            </w: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Job hazards are identified and required action is taken to minimise, control or e</w:t>
            </w:r>
            <w:r w:rsidRPr="000D44B4">
              <w:t>liminate identified hazards</w:t>
            </w:r>
          </w:p>
        </w:tc>
      </w:tr>
      <w:tr w:rsidTr="00E008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1.2</w:t>
            </w: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Rigging gear is removed and inspected for damage and defects</w:t>
            </w:r>
          </w:p>
        </w:tc>
      </w:tr>
      <w:tr w:rsidTr="00E008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1.3</w:t>
            </w: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Damaged and defective gear is tagged and segregated for testing/repair/disposal by a qualified person</w:t>
            </w:r>
          </w:p>
        </w:tc>
      </w:tr>
      <w:tr w:rsidTr="00E0083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D44B4" w:rsidP="000D44B4">
            <w:pPr>
              <w:pStyle w:val="BodyText"/>
            </w:pPr>
            <w:r w:rsidRPr="000D44B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rPr>
                <w:rStyle w:val="SpecialBold"/>
              </w:rPr>
              <w:t>Secure outriggers</w:t>
            </w: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2.1</w:t>
            </w: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Any outriggers, stabilisers, counterweights and attachments are secured and stowed in accordance with manufacturer instructions</w:t>
            </w:r>
          </w:p>
        </w:tc>
      </w:tr>
      <w:tr w:rsidTr="00E008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2.2</w:t>
            </w: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Outrigger packing is dismantled and stowed securely</w:t>
            </w:r>
          </w:p>
        </w:tc>
      </w:tr>
      <w:tr w:rsidTr="00E0083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D44B4" w:rsidP="000D44B4">
            <w:pPr>
              <w:pStyle w:val="BodyText"/>
            </w:pPr>
            <w:r w:rsidRPr="000D44B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rPr>
                <w:rStyle w:val="SpecialBold"/>
              </w:rPr>
              <w:t>Pack and store tools and equipment</w:t>
            </w: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3.1</w:t>
            </w: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Gear is cleaned as required</w:t>
            </w:r>
            <w:r w:rsidRPr="000D44B4">
              <w:t xml:space="preserve"> and stored appropriately</w:t>
            </w:r>
          </w:p>
        </w:tc>
      </w:tr>
      <w:tr w:rsidTr="00E008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3.2</w:t>
            </w: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Additional gear is returned to depot, marked off and stored in accordance with workplace procedures</w:t>
            </w:r>
          </w:p>
        </w:tc>
      </w:tr>
      <w:tr w:rsidTr="00E008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3.3</w:t>
            </w: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Other personnel are assisted as necessary to ensure efficient pack up</w:t>
            </w:r>
          </w:p>
        </w:tc>
      </w:tr>
      <w:tr w:rsidTr="00E0083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D44B4" w:rsidP="000D44B4">
            <w:pPr>
              <w:pStyle w:val="BodyText"/>
            </w:pPr>
            <w:r w:rsidRPr="000D44B4">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rPr>
                <w:rStyle w:val="SpecialBold"/>
              </w:rPr>
              <w:t>Complete records</w:t>
            </w: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4.1</w:t>
            </w: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Workplace documentation is completed in accordance with workplace procedures</w:t>
            </w:r>
          </w:p>
        </w:tc>
      </w:tr>
      <w:tr w:rsidTr="00E008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4.2</w:t>
            </w:r>
          </w:p>
        </w:tc>
        <w:tc>
          <w:tcPr>
            <w:tcW w:w="0" w:type="auto"/>
            <w:tcBorders>
              <w:top w:val="nil"/>
              <w:left w:val="nil"/>
              <w:bottom w:val="nil"/>
              <w:right w:val="nil"/>
            </w:tcBorders>
            <w:tcMar>
              <w:top w:w="0" w:type="dxa"/>
              <w:left w:w="62" w:type="dxa"/>
              <w:bottom w:w="0" w:type="dxa"/>
              <w:right w:w="62" w:type="dxa"/>
            </w:tcMar>
          </w:tcPr>
          <w:p w:rsidR="00000000" w:rsidRPr="000D44B4" w:rsidP="000D44B4">
            <w:pPr>
              <w:pStyle w:val="BodyText"/>
            </w:pPr>
            <w:r w:rsidRPr="000D44B4">
              <w:t>Required workplace records are updated and processed accurately and promptly</w:t>
            </w:r>
          </w:p>
        </w:tc>
      </w:tr>
    </w:tbl>
    <w:p w:rsidR="00E0083C" w:rsidP="000D44B4">
      <w:pPr>
        <w:pStyle w:val="BodyText"/>
      </w:pPr>
    </w:p>
    <w:p w:rsidR="00E0083C" w:rsidP="000D44B4">
      <w:pPr>
        <w:pStyle w:val="BodyText"/>
      </w:pPr>
    </w:p>
    <w:p w:rsidR="00000000" w:rsidRPr="000D44B4" w:rsidP="000D44B4">
      <w:pPr>
        <w:pStyle w:val="Heading1"/>
      </w:pPr>
      <w:bookmarkStart w:id="7" w:name="O_841833"/>
      <w:bookmarkEnd w:id="7"/>
      <w:r w:rsidRPr="000D44B4">
        <w:t>Foundation Skills</w:t>
      </w:r>
    </w:p>
    <w:p w:rsidR="00E0083C" w:rsidP="00E0083C">
      <w:pPr>
        <w:pStyle w:val="BodyText"/>
      </w:pPr>
      <w:r w:rsidRPr="000D44B4">
        <w:t>Foundation skills essential to performance are explicit in the performance criteria of this unit of competency.</w:t>
      </w:r>
    </w:p>
    <w:p w:rsidR="00000000" w:rsidRPr="000D44B4" w:rsidP="000D44B4">
      <w:pPr>
        <w:pStyle w:val="Heading1"/>
      </w:pPr>
      <w:bookmarkStart w:id="8" w:name="O_841834"/>
      <w:bookmarkEnd w:id="8"/>
      <w:r w:rsidRPr="000D44B4">
        <w:t>Range of Conditions</w:t>
      </w:r>
    </w:p>
    <w:p w:rsidR="00000000" w:rsidRPr="000D44B4" w:rsidP="00E0083C">
      <w:pPr>
        <w:pStyle w:val="BodyText"/>
      </w:pPr>
      <w:r w:rsidRPr="000D44B4">
        <w:t>Range is restricted to essential operating conditions and any other variables essential to the work enviro</w:t>
      </w:r>
      <w:r w:rsidRPr="000D44B4">
        <w:t>nment.</w:t>
      </w:r>
    </w:p>
    <w:p w:rsidR="00E0083C" w:rsidP="00E0083C">
      <w:pPr>
        <w:pStyle w:val="BodyText"/>
      </w:pPr>
      <w:r w:rsidRPr="000D44B4">
        <w:t>Non-essential conditions can be found in the Companion Volume Implementation Guide.</w:t>
      </w:r>
    </w:p>
    <w:p w:rsidR="00000000" w:rsidRPr="000D44B4" w:rsidP="000D44B4">
      <w:pPr>
        <w:pStyle w:val="Heading1"/>
      </w:pPr>
      <w:bookmarkStart w:id="9" w:name="O_841835"/>
      <w:bookmarkEnd w:id="9"/>
      <w:r w:rsidRPr="000D44B4">
        <w:t>Unit Mapping Information</w:t>
      </w:r>
    </w:p>
    <w:p w:rsidR="00E0083C" w:rsidP="00E0083C">
      <w:pPr>
        <w:pStyle w:val="BodyText"/>
      </w:pPr>
      <w:r w:rsidRPr="000D44B4">
        <w:t>This unit replaces and is equivalent to TLIB3016A De-rig, pack and store tools and equipment.</w:t>
      </w:r>
    </w:p>
    <w:p w:rsidR="00000000" w:rsidRPr="000D44B4" w:rsidP="000D44B4">
      <w:pPr>
        <w:pStyle w:val="Heading1"/>
      </w:pPr>
      <w:bookmarkStart w:id="10" w:name="O_841842"/>
      <w:bookmarkEnd w:id="10"/>
      <w:r w:rsidRPr="000D44B4">
        <w:t>Links</w:t>
      </w:r>
    </w:p>
    <w:p w:rsidR="00000000" w:rsidRPr="000D44B4" w:rsidP="00E0083C">
      <w:pPr>
        <w:pStyle w:val="BodyText"/>
      </w:pPr>
      <w:r w:rsidRPr="000D44B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D0924">
        <w:rPr>
          <w:rStyle w:val="Hyperlink"/>
        </w:rPr>
        <w:t>https://vetnet.gov.au/Pages/TrainingDocs.aspx?q=df441c6e-213d-43e3-874c-0b3f7036d851</w:t>
      </w:r>
      <w:r>
        <w:fldChar w:fldCharType="end"/>
      </w:r>
    </w:p>
    <w:p w:rsidR="00000000" w:rsidRPr="000D44B4" w:rsidP="00E0083C">
      <w:pPr>
        <w:pStyle w:val="BodyText"/>
        <w:sectPr w:rsidSect="000D44B4">
          <w:headerReference w:type="default" r:id="rId10"/>
          <w:footerReference w:type="default" r:id="rId11"/>
          <w:pgSz w:w="11908" w:h="16833"/>
          <w:pgMar w:top="1702" w:right="1418" w:bottom="1702" w:left="1418" w:header="992" w:footer="992" w:gutter="0"/>
          <w:cols w:space="720"/>
          <w:noEndnote/>
          <w:docGrid w:linePitch="299"/>
        </w:sectPr>
      </w:pPr>
    </w:p>
    <w:p w:rsidR="00000000" w:rsidRPr="000D44B4" w:rsidP="000D44B4">
      <w:pPr>
        <w:pStyle w:val="SuperHeading"/>
      </w:pPr>
      <w:r w:rsidRPr="000D44B4">
        <w:t xml:space="preserve">Assessment </w:t>
      </w:r>
      <w:r w:rsidRPr="000D44B4">
        <w:t>Requirements for TLIB3016 De-rig, pack and store tools and equipment</w:t>
      </w:r>
    </w:p>
    <w:p w:rsidR="00000000" w:rsidRPr="000D44B4" w:rsidP="000D44B4">
      <w:pPr>
        <w:pStyle w:val="Heading1"/>
      </w:pPr>
      <w:bookmarkStart w:id="11" w:name="O_841837"/>
      <w:bookmarkEnd w:id="11"/>
      <w:r w:rsidRPr="000D44B4">
        <w:t>Modification History</w:t>
      </w:r>
    </w:p>
    <w:p w:rsidR="00E0083C" w:rsidP="00E0083C">
      <w:pPr>
        <w:pStyle w:val="BodyText"/>
      </w:pPr>
      <w:r w:rsidRPr="000D44B4">
        <w:t>Release 1. This is the first release of this unit of competency in the TLI Transport and Logistics Training Package.</w:t>
      </w:r>
    </w:p>
    <w:p w:rsidR="00000000" w:rsidRPr="000D44B4" w:rsidP="000D44B4">
      <w:pPr>
        <w:pStyle w:val="Heading1"/>
      </w:pPr>
      <w:bookmarkStart w:id="12" w:name="O_841838"/>
      <w:bookmarkEnd w:id="12"/>
      <w:r w:rsidRPr="000D44B4">
        <w:t>Performance Evi</w:t>
      </w:r>
      <w:r w:rsidRPr="000D44B4">
        <w:t>dence</w:t>
      </w:r>
    </w:p>
    <w:tbl>
      <w:tblPr>
        <w:tblW w:w="0" w:type="auto"/>
        <w:tblCellMar>
          <w:left w:w="62" w:type="dxa"/>
          <w:right w:w="62" w:type="dxa"/>
        </w:tblCellMar>
        <w:tblLook w:val="0000"/>
      </w:tblPr>
      <w:tblGrid>
        <w:gridCol w:w="9196"/>
      </w:tblGrid>
      <w:tr w:rsidTr="00E0083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Evidence required to demonstrate competence in this unit must be relevant to and satisfy all of the requirements of the elements and performance criteria on at least one occasion and include:</w:t>
            </w:r>
          </w:p>
        </w:tc>
      </w:tr>
      <w:tr w:rsidTr="00E0083C">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0D44B4" w:rsidP="000D44B4">
            <w:pPr>
              <w:pStyle w:val="ListBullet"/>
            </w:pPr>
            <w:r w:rsidRPr="000D44B4">
              <w:t>applying precautions and required action to minimise, co</w:t>
            </w:r>
            <w:r w:rsidRPr="000D44B4">
              <w:t>ntrol or eliminate identified hazards</w:t>
            </w:r>
          </w:p>
          <w:p w:rsidR="00000000" w:rsidRPr="000D44B4" w:rsidP="000D44B4">
            <w:pPr>
              <w:pStyle w:val="ListBullet"/>
            </w:pPr>
            <w:r w:rsidRPr="000D44B4">
              <w:t>applying relevant legislation and workplace procedures</w:t>
            </w:r>
          </w:p>
          <w:p w:rsidR="00000000" w:rsidRPr="000D44B4" w:rsidP="000D44B4">
            <w:pPr>
              <w:pStyle w:val="ListBullet"/>
            </w:pPr>
            <w:r w:rsidRPr="000D44B4">
              <w:t xml:space="preserve">checking condition of equipment </w:t>
            </w:r>
          </w:p>
          <w:p w:rsidR="00000000" w:rsidRPr="000D44B4" w:rsidP="000D44B4">
            <w:pPr>
              <w:pStyle w:val="ListBullet"/>
            </w:pPr>
            <w:r w:rsidRPr="000D44B4">
              <w:t xml:space="preserve">communicating effectively with others </w:t>
            </w:r>
          </w:p>
          <w:p w:rsidR="00000000" w:rsidRPr="000D44B4" w:rsidP="000D44B4">
            <w:pPr>
              <w:pStyle w:val="ListBullet"/>
            </w:pPr>
            <w:r w:rsidRPr="000D44B4">
              <w:t>identifying and correctly use equipment, processes and procedures</w:t>
            </w:r>
          </w:p>
          <w:p w:rsidR="00000000" w:rsidRPr="000D44B4" w:rsidP="000D44B4">
            <w:pPr>
              <w:pStyle w:val="ListBullet"/>
            </w:pPr>
            <w:r w:rsidRPr="000D44B4">
              <w:t>interpreting and following operational instructions and prioritising work</w:t>
            </w:r>
          </w:p>
          <w:p w:rsidR="00000000" w:rsidRPr="000D44B4" w:rsidP="000D44B4">
            <w:pPr>
              <w:pStyle w:val="ListBullet"/>
            </w:pPr>
            <w:r w:rsidRPr="000D44B4">
              <w:t>operating and adapting to differences in equipment in accordance with workplace operating procedures</w:t>
            </w:r>
          </w:p>
          <w:p w:rsidR="00000000" w:rsidRPr="000D44B4" w:rsidP="000D44B4">
            <w:pPr>
              <w:pStyle w:val="ListBullet"/>
            </w:pPr>
            <w:r w:rsidRPr="000D44B4">
              <w:t>reading and interpreting relevant instructions, procedures, information and signs</w:t>
            </w:r>
            <w:r w:rsidRPr="000D44B4">
              <w:t xml:space="preserve"> </w:t>
            </w:r>
          </w:p>
          <w:p w:rsidR="00000000" w:rsidRPr="000D44B4" w:rsidP="000D44B4">
            <w:pPr>
              <w:pStyle w:val="ListBullet"/>
            </w:pPr>
            <w:r w:rsidRPr="000D44B4">
              <w:t>reporting and/or rectifying identified problems, faults or malfunctions promptly, in accordance with regulatory requirements and workplace procedures</w:t>
            </w:r>
          </w:p>
          <w:p w:rsidR="00000000" w:rsidRPr="000D44B4" w:rsidP="000D44B4">
            <w:pPr>
              <w:pStyle w:val="ListBullet"/>
            </w:pPr>
            <w:r w:rsidRPr="000D44B4">
              <w:t>working collaboratively with others.</w:t>
            </w:r>
          </w:p>
        </w:tc>
      </w:tr>
    </w:tbl>
    <w:p w:rsidR="00E0083C" w:rsidP="000D44B4">
      <w:pPr>
        <w:pStyle w:val="BodyText"/>
      </w:pPr>
    </w:p>
    <w:p w:rsidR="00E0083C" w:rsidP="000D44B4">
      <w:pPr>
        <w:pStyle w:val="BodyText"/>
      </w:pPr>
    </w:p>
    <w:p w:rsidR="00000000" w:rsidRPr="000D44B4" w:rsidP="000D44B4">
      <w:pPr>
        <w:pStyle w:val="Heading1"/>
      </w:pPr>
      <w:bookmarkStart w:id="13" w:name="O_841839"/>
      <w:bookmarkEnd w:id="13"/>
      <w:r w:rsidRPr="000D44B4">
        <w:t>Knowledge Evidence</w:t>
      </w:r>
    </w:p>
    <w:tbl>
      <w:tblPr>
        <w:tblW w:w="9498" w:type="dxa"/>
        <w:tblLayout w:type="fixed"/>
        <w:tblCellMar>
          <w:left w:w="62" w:type="dxa"/>
          <w:right w:w="62" w:type="dxa"/>
        </w:tblCellMar>
        <w:tblLook w:val="0000"/>
      </w:tblPr>
      <w:tblGrid>
        <w:gridCol w:w="9498"/>
      </w:tblGrid>
      <w:tr w:rsidTr="000D44B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D44B4">
            <w:pPr>
              <w:pStyle w:val="BodyText"/>
              <w:rPr>
                <w:lang w:val="en-NZ"/>
              </w:rPr>
            </w:pPr>
            <w:r w:rsidRPr="000D44B4">
              <w:t>Evidence required to demonstrate competence in this unit must be relevant to and satisfy all of the requirements of the elements and performance criteria and include knowledge of:</w:t>
            </w:r>
          </w:p>
        </w:tc>
      </w:tr>
      <w:tr w:rsidTr="000D44B4">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0D44B4" w:rsidP="000D44B4">
            <w:pPr>
              <w:pStyle w:val="ListBullet"/>
            </w:pPr>
            <w:r w:rsidRPr="000D44B4">
              <w:t>application of relevant agreements, codes of practice or other legislative</w:t>
            </w:r>
            <w:r w:rsidRPr="000D44B4">
              <w:t xml:space="preserve"> requirements</w:t>
            </w:r>
          </w:p>
          <w:p w:rsidR="00000000" w:rsidRPr="000D44B4" w:rsidP="000D44B4">
            <w:pPr>
              <w:pStyle w:val="ListBullet"/>
            </w:pPr>
            <w:r w:rsidRPr="000D44B4">
              <w:t>defects that may be identified when de-rigging a crane and appropriate action that should be taken</w:t>
            </w:r>
          </w:p>
          <w:p w:rsidR="00000000" w:rsidRPr="000D44B4" w:rsidP="000D44B4">
            <w:pPr>
              <w:pStyle w:val="ListBullet"/>
            </w:pPr>
            <w:r w:rsidRPr="000D44B4">
              <w:t>guidelines and codes of practices relating to the safe use of machinery and equipment</w:t>
            </w:r>
          </w:p>
          <w:p w:rsidR="00000000" w:rsidRPr="000D44B4" w:rsidP="000D44B4">
            <w:pPr>
              <w:pStyle w:val="ListBullet"/>
            </w:pPr>
            <w:r w:rsidRPr="000D44B4">
              <w:t>hazard management consistent with the principle of hierar</w:t>
            </w:r>
            <w:r w:rsidRPr="000D44B4">
              <w:t>chy of control with elimination, substitution, isolation and engineering control measures being selected before safe working practices and personal protective equipment</w:t>
            </w:r>
          </w:p>
          <w:p w:rsidR="00000000" w:rsidRPr="000D44B4" w:rsidP="000D44B4">
            <w:pPr>
              <w:pStyle w:val="ListBullet"/>
            </w:pPr>
            <w:r w:rsidRPr="000D44B4">
              <w:t>high risk work and mobile crane licence requirements</w:t>
            </w:r>
          </w:p>
          <w:p w:rsidR="00000000" w:rsidRPr="000D44B4" w:rsidP="000D44B4">
            <w:pPr>
              <w:pStyle w:val="ListBullet"/>
            </w:pPr>
            <w:r w:rsidRPr="000D44B4">
              <w:t>mobile crane applications, capacit</w:t>
            </w:r>
            <w:r w:rsidRPr="000D44B4">
              <w:t>ies, configurations, safety hazards and control mechanisms</w:t>
            </w:r>
          </w:p>
          <w:p w:rsidR="00000000" w:rsidRPr="000D44B4" w:rsidP="000D44B4">
            <w:pPr>
              <w:pStyle w:val="ListBullet"/>
            </w:pPr>
            <w:r w:rsidRPr="000D44B4">
              <w:t>operational procedures for crane crews concerning de-rigging of cranes, and packing and storing tools and equipment</w:t>
            </w:r>
          </w:p>
          <w:p w:rsidR="00000000" w:rsidRPr="000D44B4" w:rsidP="000D44B4">
            <w:pPr>
              <w:pStyle w:val="ListBullet"/>
            </w:pPr>
            <w:r w:rsidRPr="000D44B4">
              <w:t>operational work systems and equipment</w:t>
            </w:r>
          </w:p>
          <w:p w:rsidR="00000000" w:rsidRPr="000D44B4" w:rsidP="000D44B4">
            <w:pPr>
              <w:pStyle w:val="ListBullet"/>
            </w:pPr>
            <w:r w:rsidRPr="000D44B4">
              <w:t>relevant heavy vehicle national regulation</w:t>
            </w:r>
            <w:r w:rsidRPr="000D44B4">
              <w:t>s</w:t>
            </w:r>
          </w:p>
          <w:p w:rsidR="00000000" w:rsidRPr="000D44B4" w:rsidP="000D44B4">
            <w:pPr>
              <w:pStyle w:val="ListBullet"/>
            </w:pPr>
            <w:r w:rsidRPr="000D44B4">
              <w:t>relevant road rules, regulations, permit and licence requirements for mobile crane operation.</w:t>
            </w:r>
          </w:p>
        </w:tc>
      </w:tr>
    </w:tbl>
    <w:p w:rsidR="00E0083C" w:rsidP="000D44B4">
      <w:pPr>
        <w:pStyle w:val="BodyText"/>
      </w:pPr>
    </w:p>
    <w:p w:rsidR="00E0083C" w:rsidP="000D44B4">
      <w:pPr>
        <w:pStyle w:val="BodyText"/>
      </w:pPr>
    </w:p>
    <w:p w:rsidR="00000000" w:rsidRPr="000D44B4" w:rsidP="000D44B4">
      <w:pPr>
        <w:pStyle w:val="Heading1"/>
      </w:pPr>
      <w:bookmarkStart w:id="14" w:name="O_841840"/>
      <w:bookmarkEnd w:id="14"/>
      <w:r w:rsidRPr="000D44B4">
        <w:t>Assessment Conditions</w:t>
      </w:r>
    </w:p>
    <w:tbl>
      <w:tblPr>
        <w:tblW w:w="9498" w:type="dxa"/>
        <w:tblLayout w:type="fixed"/>
        <w:tblCellMar>
          <w:left w:w="62" w:type="dxa"/>
          <w:right w:w="62" w:type="dxa"/>
        </w:tblCellMar>
        <w:tblLook w:val="0000"/>
      </w:tblPr>
      <w:tblGrid>
        <w:gridCol w:w="9498"/>
      </w:tblGrid>
      <w:tr w:rsidTr="000D44B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D44B4" w:rsidP="000D44B4">
            <w:pPr>
              <w:pStyle w:val="BodyText"/>
            </w:pPr>
            <w:r w:rsidRPr="000D44B4">
              <w:t xml:space="preserve">As a minimum, assessors must satisfy applicable regulatory requirements, which include requirements in the </w:t>
            </w:r>
            <w:r w:rsidRPr="000D44B4">
              <w:rPr>
                <w:rStyle w:val="Emphasis"/>
              </w:rPr>
              <w:t>Standards for Registered Training Organisations</w:t>
            </w:r>
            <w:r w:rsidRPr="000D44B4">
              <w:t xml:space="preserve"> current at the time of assessment. </w:t>
            </w:r>
          </w:p>
          <w:p w:rsidR="00000000" w:rsidRPr="000D44B4" w:rsidP="000D44B4">
            <w:pPr>
              <w:pStyle w:val="BodyText"/>
            </w:pPr>
            <w:r w:rsidRPr="000D44B4">
              <w:t xml:space="preserve">As a minimum, assessment must satisfy applicable regulatory requirements, which include requirements in the </w:t>
            </w:r>
            <w:r w:rsidRPr="000D44B4">
              <w:rPr>
                <w:rStyle w:val="Emphasis"/>
              </w:rPr>
              <w:t>Standards for Registered Training Organisations</w:t>
            </w:r>
            <w:r w:rsidRPr="000D44B4">
              <w:t xml:space="preserve"> current at the t</w:t>
            </w:r>
            <w:r w:rsidRPr="000D44B4">
              <w:t>ime of assessment.</w:t>
            </w:r>
          </w:p>
          <w:p w:rsidR="00000000" w:rsidRPr="000D44B4" w:rsidP="000D44B4">
            <w:pPr>
              <w:pStyle w:val="BodyText"/>
            </w:pPr>
            <w:r w:rsidRPr="000D44B4">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0D44B4" w:rsidP="000D44B4">
            <w:pPr>
              <w:pStyle w:val="BodyText"/>
            </w:pPr>
            <w:r w:rsidRPr="000D44B4">
              <w:t>Assessme</w:t>
            </w:r>
            <w:r w:rsidRPr="000D44B4">
              <w:t>nt processes and techniques must be appropriate to the language, literacy and numeracy requirements of the work being performed and the needs of the candidate.</w:t>
            </w:r>
          </w:p>
          <w:p w:rsidR="00000000" w:rsidRPr="000D44B4" w:rsidP="000D44B4">
            <w:pPr>
              <w:pStyle w:val="BodyText"/>
            </w:pPr>
            <w:r w:rsidRPr="000D44B4">
              <w:t>Resources for assessment include:</w:t>
            </w:r>
          </w:p>
          <w:p w:rsidR="00000000" w:rsidRPr="000D44B4" w:rsidP="000D44B4">
            <w:pPr>
              <w:pStyle w:val="ListBullet"/>
            </w:pPr>
            <w:r w:rsidRPr="000D44B4">
              <w:t>a range of relevant exercises, case studies and/or simulation</w:t>
            </w:r>
            <w:r w:rsidRPr="000D44B4">
              <w:t>s</w:t>
            </w:r>
          </w:p>
          <w:p w:rsidR="00000000" w:rsidRPr="000D44B4" w:rsidP="000D44B4">
            <w:pPr>
              <w:pStyle w:val="ListBullet"/>
            </w:pPr>
            <w:r w:rsidRPr="000D44B4">
              <w:t>applicable documentation including workplace procedures, regulations, codes of practice and operation manuals</w:t>
            </w:r>
          </w:p>
          <w:p w:rsidR="00000000" w:rsidRPr="000D44B4" w:rsidP="000D44B4">
            <w:pPr>
              <w:pStyle w:val="ListBullet"/>
            </w:pPr>
            <w:r w:rsidRPr="000D44B4">
              <w:t>relevant materials, tools, equipment and personal protective equipment currently used in industry.</w:t>
            </w:r>
          </w:p>
        </w:tc>
      </w:tr>
    </w:tbl>
    <w:p w:rsidR="00E0083C" w:rsidP="000D44B4">
      <w:pPr>
        <w:pStyle w:val="BodyText"/>
      </w:pPr>
    </w:p>
    <w:p w:rsidR="00E0083C" w:rsidP="000D44B4">
      <w:pPr>
        <w:pStyle w:val="BodyText"/>
      </w:pPr>
    </w:p>
    <w:p w:rsidR="00000000" w:rsidRPr="000D44B4" w:rsidP="000D44B4">
      <w:pPr>
        <w:pStyle w:val="Heading1"/>
      </w:pPr>
      <w:bookmarkStart w:id="15" w:name="O_841843"/>
      <w:bookmarkEnd w:id="15"/>
      <w:r w:rsidRPr="000D44B4">
        <w:t>Links</w:t>
      </w:r>
    </w:p>
    <w:p w:rsidR="00000000" w:rsidRPr="000D44B4" w:rsidP="00E0083C">
      <w:pPr>
        <w:pStyle w:val="BodyText"/>
      </w:pPr>
      <w:r w:rsidRPr="000D44B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D0924">
        <w:rPr>
          <w:rStyle w:val="Hyperlink"/>
        </w:rPr>
        <w:t>https://vetnet.gov.au/Pages/TrainingDocs.aspx?q=df441c6e-213d-43e3-874c-0b3f7036d851</w:t>
      </w:r>
      <w:r>
        <w:fldChar w:fldCharType="end"/>
      </w:r>
    </w:p>
    <w:p w:rsidR="00000000" w:rsidRPr="000D44B4" w:rsidP="000D44B4"/>
    <w:sectPr w:rsidSect="000D44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B4" w:rsidRPr="00E0083C" w:rsidP="00E00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3C" w:rsidP="000D44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083C" w:rsidP="000D44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0083C" w:rsidP="000D44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B4" w:rsidP="000D44B4">
    <w:pPr>
      <w:pStyle w:val="Footer"/>
      <w:framePr w:wrap="around"/>
    </w:pPr>
    <w:r>
      <w:fldChar w:fldCharType="begin"/>
    </w:r>
    <w:r>
      <w:instrText xml:space="preserve"> DOCPROPERTY  Subject  \* MERGEFORMAT </w:instrText>
    </w:r>
    <w:r>
      <w:fldChar w:fldCharType="separate"/>
    </w:r>
    <w:r w:rsidR="00E0083C">
      <w:t>Approved</w:t>
    </w:r>
    <w:r w:rsidR="00E0083C">
      <w:fldChar w:fldCharType="end"/>
    </w:r>
    <w:r>
      <w:tab/>
      <w:t xml:space="preserve">Page </w:t>
    </w:r>
    <w:r>
      <w:fldChar w:fldCharType="begin"/>
    </w:r>
    <w:r>
      <w:instrText xml:space="preserve"> PAGE  \* Arabic  \* MERGEFORMAT </w:instrText>
    </w:r>
    <w:r>
      <w:fldChar w:fldCharType="separate"/>
    </w:r>
    <w:r w:rsidR="00E008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083C">
      <w:rPr>
        <w:noProof/>
      </w:rPr>
      <w:t>4</w:t>
    </w:r>
    <w:r>
      <w:rPr>
        <w:noProof/>
      </w:rPr>
      <w:fldChar w:fldCharType="end"/>
    </w:r>
  </w:p>
  <w:p w:rsidR="000D44B4" w:rsidP="000D44B4">
    <w:pPr>
      <w:pStyle w:val="Footer"/>
      <w:framePr w:wrap="around"/>
    </w:pPr>
    <w:r>
      <w:t xml:space="preserve">© Commonwealth of Australia, </w:t>
    </w:r>
    <w:r>
      <w:fldChar w:fldCharType="begin"/>
    </w:r>
    <w:r>
      <w:instrText xml:space="preserve"> DATE  \@ "yyyy"  \* MERGEFORMAT </w:instrText>
    </w:r>
    <w:r>
      <w:fldChar w:fldCharType="separate"/>
    </w:r>
    <w:r w:rsidR="00E0083C">
      <w:rPr>
        <w:noProof/>
      </w:rPr>
      <w:t>2025</w:t>
    </w:r>
    <w:r>
      <w:fldChar w:fldCharType="end"/>
    </w:r>
    <w:r>
      <w:tab/>
    </w:r>
    <w:r>
      <w:fldChar w:fldCharType="begin"/>
    </w:r>
    <w:r>
      <w:instrText xml:space="preserve"> DOCPROPERTY  Author  \* MERGEFORMAT </w:instrText>
    </w:r>
    <w:r>
      <w:fldChar w:fldCharType="separate"/>
    </w:r>
    <w:r w:rsidR="00E0083C">
      <w:t>Industry Skills Australia</w:t>
    </w:r>
    <w:r w:rsidR="00E0083C">
      <w:fldChar w:fldCharType="end"/>
    </w:r>
  </w:p>
  <w:p w:rsidR="000D44B4" w:rsidP="000D44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4B4" w:rsidRPr="00E0083C" w:rsidP="00E00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83C" w:rsidRPr="002D2AF8" w:rsidP="000D44B4">
    <w:pPr>
      <w:pStyle w:val="Header"/>
      <w:framePr w:wrap="around"/>
    </w:pPr>
    <w:r>
      <w:fldChar w:fldCharType="begin"/>
    </w:r>
    <w:r>
      <w:instrText xml:space="preserve"> TITLE   \* MERGEFORMAT </w:instrText>
    </w:r>
    <w:r>
      <w:fldChar w:fldCharType="separate"/>
    </w:r>
    <w:r>
      <w:t>TLIB3016 De-rig, pack and store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083C" w:rsidP="000D44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B4" w:rsidRPr="002D2AF8" w:rsidP="000D44B4">
    <w:pPr>
      <w:pStyle w:val="Header"/>
      <w:framePr w:wrap="around"/>
    </w:pPr>
    <w:r>
      <w:fldChar w:fldCharType="begin"/>
    </w:r>
    <w:r>
      <w:instrText xml:space="preserve"> TITLE   \* MERGEFORMAT </w:instrText>
    </w:r>
    <w:r>
      <w:fldChar w:fldCharType="separate"/>
    </w:r>
    <w:r w:rsidR="00E0083C">
      <w:t>TLIB3016 De-rig, pack and store tools and equipment</w:t>
    </w:r>
    <w:r w:rsidR="00E0083C">
      <w:fldChar w:fldCharType="end"/>
    </w:r>
    <w:r>
      <w:tab/>
      <w:t xml:space="preserve">Date this document was generated: </w:t>
    </w:r>
    <w:r>
      <w:fldChar w:fldCharType="begin"/>
    </w:r>
    <w:r>
      <w:instrText xml:space="preserve"> CREATEDATE  \@ "d MMMM yyyy"  \* MERGEFORMAT </w:instrText>
    </w:r>
    <w:r>
      <w:fldChar w:fldCharType="separate"/>
    </w:r>
    <w:r w:rsidR="00E0083C">
      <w:rPr>
        <w:noProof/>
      </w:rPr>
      <w:t>2 March 2025</w:t>
    </w:r>
    <w:r>
      <w:fldChar w:fldCharType="end"/>
    </w:r>
  </w:p>
  <w:p w:rsidR="000D44B4" w:rsidP="000D44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D628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DC39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4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4B4"/>
    <w:pPr>
      <w:spacing w:before="360" w:after="60"/>
      <w:outlineLvl w:val="0"/>
    </w:pPr>
    <w:rPr>
      <w:sz w:val="32"/>
    </w:rPr>
  </w:style>
  <w:style w:type="paragraph" w:styleId="Heading2">
    <w:name w:val="heading 2"/>
    <w:basedOn w:val="HeadingBase"/>
    <w:next w:val="BodyText"/>
    <w:link w:val="Heading2Char"/>
    <w:qFormat/>
    <w:rsid w:val="000D44B4"/>
    <w:pPr>
      <w:keepLines/>
      <w:spacing w:before="240" w:after="120"/>
      <w:outlineLvl w:val="1"/>
    </w:pPr>
    <w:rPr>
      <w:sz w:val="28"/>
      <w:szCs w:val="40"/>
    </w:rPr>
  </w:style>
  <w:style w:type="paragraph" w:styleId="Heading3">
    <w:name w:val="heading 3"/>
    <w:basedOn w:val="HeadingBase"/>
    <w:next w:val="BodyText"/>
    <w:link w:val="Heading3Char"/>
    <w:qFormat/>
    <w:rsid w:val="000D44B4"/>
    <w:pPr>
      <w:spacing w:before="180" w:after="120"/>
      <w:outlineLvl w:val="2"/>
    </w:pPr>
    <w:rPr>
      <w:spacing w:val="-10"/>
      <w:kern w:val="32"/>
    </w:rPr>
  </w:style>
  <w:style w:type="paragraph" w:styleId="Heading4">
    <w:name w:val="heading 4"/>
    <w:basedOn w:val="HeadingBase"/>
    <w:next w:val="BodyText"/>
    <w:link w:val="Heading4Char"/>
    <w:qFormat/>
    <w:rsid w:val="000D44B4"/>
    <w:pPr>
      <w:spacing w:before="160" w:after="120"/>
      <w:outlineLvl w:val="3"/>
    </w:pPr>
    <w:rPr>
      <w:sz w:val="22"/>
    </w:rPr>
  </w:style>
  <w:style w:type="paragraph" w:styleId="Heading5">
    <w:name w:val="heading 5"/>
    <w:basedOn w:val="HeadingBase"/>
    <w:next w:val="Normal"/>
    <w:link w:val="Heading5Char"/>
    <w:qFormat/>
    <w:rsid w:val="000D44B4"/>
    <w:pPr>
      <w:spacing w:before="80"/>
      <w:outlineLvl w:val="4"/>
    </w:pPr>
    <w:rPr>
      <w:color w:val="918585"/>
      <w:sz w:val="20"/>
    </w:rPr>
  </w:style>
  <w:style w:type="paragraph" w:styleId="Heading6">
    <w:name w:val="heading 6"/>
    <w:basedOn w:val="HeadingBase"/>
    <w:next w:val="Normal"/>
    <w:link w:val="Heading6Char"/>
    <w:qFormat/>
    <w:rsid w:val="000D44B4"/>
    <w:pPr>
      <w:spacing w:before="60"/>
      <w:outlineLvl w:val="5"/>
    </w:pPr>
    <w:rPr>
      <w:color w:val="918585"/>
      <w:sz w:val="20"/>
    </w:rPr>
  </w:style>
  <w:style w:type="paragraph" w:styleId="Heading7">
    <w:name w:val="heading 7"/>
    <w:basedOn w:val="Normal"/>
    <w:next w:val="Normal"/>
    <w:link w:val="Heading7Char"/>
    <w:qFormat/>
    <w:rsid w:val="000D44B4"/>
    <w:pPr>
      <w:ind w:left="720"/>
      <w:outlineLvl w:val="6"/>
    </w:pPr>
    <w:rPr>
      <w:i/>
    </w:rPr>
  </w:style>
  <w:style w:type="paragraph" w:styleId="Heading8">
    <w:name w:val="heading 8"/>
    <w:basedOn w:val="Normal"/>
    <w:next w:val="Normal"/>
    <w:link w:val="Heading8Char"/>
    <w:qFormat/>
    <w:rsid w:val="000D44B4"/>
    <w:pPr>
      <w:ind w:left="720"/>
      <w:outlineLvl w:val="7"/>
    </w:pPr>
    <w:rPr>
      <w:i/>
    </w:rPr>
  </w:style>
  <w:style w:type="paragraph" w:styleId="Heading9">
    <w:name w:val="heading 9"/>
    <w:basedOn w:val="Normal"/>
    <w:next w:val="Normal"/>
    <w:link w:val="Heading9Char"/>
    <w:qFormat/>
    <w:rsid w:val="000D44B4"/>
    <w:pPr>
      <w:ind w:left="720"/>
      <w:outlineLvl w:val="8"/>
    </w:pPr>
    <w:rPr>
      <w:i/>
    </w:rPr>
  </w:style>
  <w:style w:type="character" w:default="1" w:styleId="DefaultParagraphFont">
    <w:name w:val="Default Paragraph Font"/>
    <w:uiPriority w:val="1"/>
    <w:unhideWhenUsed/>
    <w:rsid w:val="000D44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4B4"/>
  </w:style>
  <w:style w:type="character" w:customStyle="1" w:styleId="Heading1Char">
    <w:name w:val="Heading 1 Char"/>
    <w:basedOn w:val="DefaultParagraphFont"/>
    <w:link w:val="Heading1"/>
    <w:rsid w:val="000D44B4"/>
    <w:rPr>
      <w:rFonts w:ascii="Times New Roman" w:eastAsia="Times New Roman" w:hAnsi="Times New Roman" w:cs="Times New Roman"/>
      <w:b/>
      <w:sz w:val="32"/>
      <w:szCs w:val="20"/>
      <w:lang w:eastAsia="en-US"/>
    </w:rPr>
  </w:style>
  <w:style w:type="paragraph" w:styleId="BodyText">
    <w:name w:val="Body Text"/>
    <w:basedOn w:val="Normal"/>
    <w:link w:val="BodyTextChar"/>
    <w:rsid w:val="000D44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4B4"/>
    <w:rPr>
      <w:rFonts w:ascii="Times New Roman" w:eastAsia="Times New Roman" w:hAnsi="Times New Roman" w:cs="Times New Roman"/>
      <w:sz w:val="24"/>
      <w:lang w:eastAsia="en-US"/>
    </w:rPr>
  </w:style>
  <w:style w:type="paragraph" w:styleId="ListBullet">
    <w:name w:val="List Bullet"/>
    <w:basedOn w:val="List"/>
    <w:rsid w:val="000D44B4"/>
    <w:pPr>
      <w:numPr>
        <w:numId w:val="11"/>
      </w:numPr>
      <w:tabs>
        <w:tab w:val="clear" w:pos="340"/>
      </w:tabs>
      <w:spacing w:before="40" w:after="40"/>
    </w:pPr>
  </w:style>
  <w:style w:type="character" w:customStyle="1" w:styleId="SpecialBold">
    <w:name w:val="Special Bold"/>
    <w:basedOn w:val="DefaultParagraphFont"/>
    <w:rsid w:val="000D44B4"/>
    <w:rPr>
      <w:b/>
      <w:spacing w:val="0"/>
    </w:rPr>
  </w:style>
  <w:style w:type="character" w:styleId="Emphasis">
    <w:name w:val="Emphasis"/>
    <w:basedOn w:val="DefaultParagraphFont"/>
    <w:qFormat/>
    <w:rsid w:val="000D44B4"/>
    <w:rPr>
      <w:i/>
    </w:rPr>
  </w:style>
  <w:style w:type="paragraph" w:customStyle="1" w:styleId="SuperHeading">
    <w:name w:val="SuperHeading"/>
    <w:basedOn w:val="Normal"/>
    <w:rsid w:val="000D44B4"/>
    <w:pPr>
      <w:spacing w:before="240" w:after="120"/>
      <w:outlineLvl w:val="0"/>
    </w:pPr>
    <w:rPr>
      <w:rFonts w:ascii="Times New Roman" w:hAnsi="Times New Roman"/>
      <w:b/>
      <w:sz w:val="32"/>
    </w:rPr>
  </w:style>
  <w:style w:type="paragraph" w:customStyle="1" w:styleId="AllowPageBreak">
    <w:name w:val="AllowPageBreak"/>
    <w:rsid w:val="000D44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44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4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4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4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4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4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4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4B4"/>
    <w:rPr>
      <w:rFonts w:ascii="Courier New" w:eastAsia="Times New Roman" w:hAnsi="Courier New" w:cs="Times New Roman"/>
      <w:i/>
      <w:szCs w:val="20"/>
      <w:lang w:eastAsia="en-US"/>
    </w:rPr>
  </w:style>
  <w:style w:type="paragraph" w:customStyle="1" w:styleId="HeadingBase">
    <w:name w:val="Heading Base"/>
    <w:rsid w:val="000D44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4B4"/>
    <w:pPr>
      <w:tabs>
        <w:tab w:val="right" w:leader="dot" w:pos="9072"/>
      </w:tabs>
      <w:ind w:left="567"/>
    </w:pPr>
    <w:rPr>
      <w:szCs w:val="22"/>
    </w:rPr>
  </w:style>
  <w:style w:type="paragraph" w:customStyle="1" w:styleId="TOCBase">
    <w:name w:val="TOC Base"/>
    <w:rsid w:val="000D44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4B4"/>
    <w:pPr>
      <w:tabs>
        <w:tab w:val="right" w:leader="dot" w:pos="9072"/>
      </w:tabs>
      <w:spacing w:before="40" w:after="40"/>
      <w:ind w:left="284"/>
    </w:pPr>
    <w:rPr>
      <w:rFonts w:ascii="Times New Roman" w:hAnsi="Times New Roman"/>
    </w:rPr>
  </w:style>
  <w:style w:type="paragraph" w:styleId="TOC1">
    <w:name w:val="toc 1"/>
    <w:basedOn w:val="TOCBase"/>
    <w:next w:val="Normal"/>
    <w:rsid w:val="000D44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4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4B4"/>
    <w:rPr>
      <w:rFonts w:ascii="Times New Roman" w:eastAsia="Times New Roman" w:hAnsi="Times New Roman" w:cs="Times New Roman"/>
      <w:sz w:val="16"/>
      <w:lang w:eastAsia="en-US"/>
    </w:rPr>
  </w:style>
  <w:style w:type="paragraph" w:styleId="Title">
    <w:name w:val="Title"/>
    <w:basedOn w:val="HeadingBase"/>
    <w:link w:val="TitleChar"/>
    <w:qFormat/>
    <w:rsid w:val="000D44B4"/>
    <w:pPr>
      <w:spacing w:before="5040"/>
      <w:jc w:val="center"/>
    </w:pPr>
    <w:rPr>
      <w:sz w:val="48"/>
      <w:szCs w:val="72"/>
      <w:lang w:val="en-US"/>
    </w:rPr>
  </w:style>
  <w:style w:type="character" w:customStyle="1" w:styleId="TitleChar">
    <w:name w:val="Title Char"/>
    <w:basedOn w:val="DefaultParagraphFont"/>
    <w:link w:val="Title"/>
    <w:rsid w:val="000D44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4B4"/>
    <w:pPr>
      <w:tabs>
        <w:tab w:val="left" w:pos="3600"/>
        <w:tab w:val="left" w:pos="3958"/>
      </w:tabs>
    </w:pPr>
  </w:style>
  <w:style w:type="paragraph" w:styleId="List">
    <w:name w:val="List"/>
    <w:basedOn w:val="BodyText"/>
    <w:next w:val="BodyText"/>
    <w:rsid w:val="000D44B4"/>
    <w:pPr>
      <w:tabs>
        <w:tab w:val="left" w:pos="340"/>
      </w:tabs>
      <w:spacing w:before="60" w:after="60"/>
      <w:ind w:left="340" w:hanging="340"/>
    </w:pPr>
  </w:style>
  <w:style w:type="paragraph" w:customStyle="1" w:styleId="Note">
    <w:name w:val="Note"/>
    <w:basedOn w:val="BodyText"/>
    <w:rsid w:val="000D44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4B4"/>
    <w:pPr>
      <w:framePr w:wrap="auto" w:hAnchor="text" w:y="6049"/>
    </w:pPr>
    <w:rPr>
      <w:color w:val="000000"/>
      <w:sz w:val="40"/>
    </w:rPr>
  </w:style>
  <w:style w:type="paragraph" w:customStyle="1" w:styleId="TOCTitle">
    <w:name w:val="TOCTitle"/>
    <w:basedOn w:val="Heading1"/>
    <w:rsid w:val="000D44B4"/>
    <w:pPr>
      <w:spacing w:after="240"/>
      <w:jc w:val="center"/>
      <w:outlineLvl w:val="9"/>
    </w:pPr>
    <w:rPr>
      <w:caps/>
    </w:rPr>
  </w:style>
  <w:style w:type="paragraph" w:customStyle="1" w:styleId="Version">
    <w:name w:val="Version"/>
    <w:rsid w:val="000D44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44B4"/>
    <w:pPr>
      <w:numPr>
        <w:numId w:val="12"/>
      </w:numPr>
      <w:tabs>
        <w:tab w:val="clear" w:pos="680"/>
      </w:tabs>
    </w:pPr>
  </w:style>
  <w:style w:type="paragraph" w:styleId="Index1">
    <w:name w:val="index 1"/>
    <w:basedOn w:val="Normal"/>
    <w:next w:val="Normal"/>
    <w:semiHidden/>
    <w:rsid w:val="000D44B4"/>
    <w:pPr>
      <w:keepNext w:val="0"/>
      <w:tabs>
        <w:tab w:val="right" w:pos="4176"/>
      </w:tabs>
      <w:ind w:left="198" w:hanging="198"/>
    </w:pPr>
    <w:rPr>
      <w:rFonts w:ascii="Garamond" w:hAnsi="Garamond"/>
    </w:rPr>
  </w:style>
  <w:style w:type="paragraph" w:styleId="IndexHeading">
    <w:name w:val="index heading"/>
    <w:basedOn w:val="Normal"/>
    <w:next w:val="Index1"/>
    <w:semiHidden/>
    <w:rsid w:val="000D44B4"/>
    <w:pPr>
      <w:spacing w:before="120" w:after="120"/>
    </w:pPr>
    <w:rPr>
      <w:rFonts w:ascii="Arial" w:hAnsi="Arial"/>
      <w:b/>
      <w:color w:val="918585"/>
      <w:sz w:val="24"/>
    </w:rPr>
  </w:style>
  <w:style w:type="paragraph" w:styleId="Header">
    <w:name w:val="header"/>
    <w:basedOn w:val="Normal"/>
    <w:link w:val="HeaderChar"/>
    <w:rsid w:val="000D44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4B4"/>
    <w:rPr>
      <w:rFonts w:ascii="Times New Roman" w:eastAsia="Times New Roman" w:hAnsi="Times New Roman" w:cs="Times New Roman"/>
      <w:sz w:val="16"/>
      <w:szCs w:val="20"/>
      <w:lang w:val="en-GB" w:eastAsia="en-US"/>
    </w:rPr>
  </w:style>
  <w:style w:type="paragraph" w:customStyle="1" w:styleId="Chapter">
    <w:name w:val="Chapter"/>
    <w:basedOn w:val="Normal"/>
    <w:rsid w:val="000D44B4"/>
    <w:pPr>
      <w:spacing w:before="240"/>
    </w:pPr>
    <w:rPr>
      <w:rFonts w:ascii="Times New Roman" w:hAnsi="Times New Roman"/>
      <w:smallCaps/>
      <w:spacing w:val="80"/>
      <w:sz w:val="28"/>
    </w:rPr>
  </w:style>
  <w:style w:type="paragraph" w:customStyle="1" w:styleId="InChapter">
    <w:name w:val="InChapter"/>
    <w:basedOn w:val="Heading3"/>
    <w:rsid w:val="000D44B4"/>
    <w:pPr>
      <w:spacing w:after="240"/>
      <w:outlineLvl w:val="9"/>
    </w:pPr>
    <w:rPr>
      <w:noProof/>
    </w:rPr>
  </w:style>
  <w:style w:type="paragraph" w:styleId="Index2">
    <w:name w:val="index 2"/>
    <w:basedOn w:val="Normal"/>
    <w:next w:val="Normal"/>
    <w:semiHidden/>
    <w:rsid w:val="000D44B4"/>
    <w:pPr>
      <w:tabs>
        <w:tab w:val="right" w:pos="4176"/>
      </w:tabs>
      <w:ind w:left="568" w:hanging="284"/>
    </w:pPr>
    <w:rPr>
      <w:rFonts w:ascii="Garamond" w:hAnsi="Garamond"/>
    </w:rPr>
  </w:style>
  <w:style w:type="paragraph" w:customStyle="1" w:styleId="Byline">
    <w:name w:val="Byline"/>
    <w:rsid w:val="000D44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4B4"/>
    <w:pPr>
      <w:tabs>
        <w:tab w:val="clear" w:pos="3600"/>
        <w:tab w:val="clear" w:pos="3958"/>
      </w:tabs>
      <w:jc w:val="right"/>
    </w:pPr>
  </w:style>
  <w:style w:type="paragraph" w:styleId="Caption">
    <w:name w:val="caption"/>
    <w:basedOn w:val="BodyText"/>
    <w:next w:val="Normal"/>
    <w:qFormat/>
    <w:rsid w:val="000D44B4"/>
    <w:pPr>
      <w:framePr w:w="2268" w:hSpace="181" w:vSpace="181" w:wrap="around" w:vAnchor="text" w:hAnchor="page" w:x="1135" w:y="285" w:anchorLock="1"/>
    </w:pPr>
    <w:rPr>
      <w:i/>
    </w:rPr>
  </w:style>
  <w:style w:type="paragraph" w:customStyle="1" w:styleId="MiniTOCTitle">
    <w:name w:val="MiniTOCTitle"/>
    <w:basedOn w:val="Heading4"/>
    <w:rsid w:val="000D44B4"/>
    <w:pPr>
      <w:spacing w:before="240"/>
      <w:outlineLvl w:val="9"/>
    </w:pPr>
    <w:rPr>
      <w:noProof/>
      <w:sz w:val="24"/>
    </w:rPr>
  </w:style>
  <w:style w:type="paragraph" w:customStyle="1" w:styleId="MiniTOCItem">
    <w:name w:val="MiniTOCItem"/>
    <w:basedOn w:val="ListBullet"/>
    <w:rsid w:val="000D44B4"/>
    <w:pPr>
      <w:numPr>
        <w:numId w:val="0"/>
      </w:numPr>
      <w:tabs>
        <w:tab w:val="right" w:leader="dot" w:pos="6521"/>
      </w:tabs>
      <w:spacing w:before="0" w:after="0"/>
    </w:pPr>
  </w:style>
  <w:style w:type="paragraph" w:customStyle="1" w:styleId="TOFTitle">
    <w:name w:val="TOFTitle"/>
    <w:basedOn w:val="TOCTitle"/>
    <w:rsid w:val="000D44B4"/>
  </w:style>
  <w:style w:type="paragraph" w:styleId="TableofFigures">
    <w:name w:val="table of figures"/>
    <w:basedOn w:val="Normal"/>
    <w:next w:val="Normal"/>
    <w:semiHidden/>
    <w:rsid w:val="000D44B4"/>
    <w:pPr>
      <w:tabs>
        <w:tab w:val="right" w:leader="dot" w:pos="9072"/>
      </w:tabs>
      <w:ind w:left="970" w:hanging="403"/>
    </w:pPr>
    <w:rPr>
      <w:rFonts w:ascii="Times New Roman" w:hAnsi="Times New Roman"/>
      <w:b/>
    </w:rPr>
  </w:style>
  <w:style w:type="paragraph" w:styleId="ListNumber">
    <w:name w:val="List Number"/>
    <w:basedOn w:val="List"/>
    <w:rsid w:val="000D44B4"/>
    <w:pPr>
      <w:numPr>
        <w:numId w:val="14"/>
      </w:numPr>
      <w:tabs>
        <w:tab w:val="clear" w:pos="340"/>
      </w:tabs>
    </w:pPr>
  </w:style>
  <w:style w:type="character" w:customStyle="1" w:styleId="WingdingSymbols">
    <w:name w:val="Wingding Symbols"/>
    <w:rsid w:val="000D44B4"/>
    <w:rPr>
      <w:rFonts w:ascii="Wingdings" w:hAnsi="Wingdings"/>
    </w:rPr>
  </w:style>
  <w:style w:type="paragraph" w:customStyle="1" w:styleId="TableHeading">
    <w:name w:val="Table Heading"/>
    <w:basedOn w:val="HeadingBase"/>
    <w:rsid w:val="000D44B4"/>
    <w:pPr>
      <w:keepLines/>
      <w:pBdr>
        <w:bottom w:val="single" w:sz="6" w:space="1" w:color="918585"/>
      </w:pBdr>
      <w:spacing w:before="240"/>
    </w:pPr>
  </w:style>
  <w:style w:type="character" w:customStyle="1" w:styleId="HotSpot">
    <w:name w:val="HotSpot"/>
    <w:rsid w:val="000D44B4"/>
    <w:rPr>
      <w:color w:val="0033CC"/>
      <w:u w:val="none"/>
    </w:rPr>
  </w:style>
  <w:style w:type="paragraph" w:customStyle="1" w:styleId="BodyTextRight">
    <w:name w:val="Body Text Right"/>
    <w:basedOn w:val="BodyText"/>
    <w:rsid w:val="000D44B4"/>
    <w:pPr>
      <w:spacing w:before="0" w:after="0"/>
      <w:jc w:val="right"/>
    </w:pPr>
  </w:style>
  <w:style w:type="paragraph" w:styleId="Index3">
    <w:name w:val="index 3"/>
    <w:basedOn w:val="ListNumber2"/>
    <w:next w:val="Normal"/>
    <w:semiHidden/>
    <w:rsid w:val="000D44B4"/>
    <w:pPr>
      <w:numPr>
        <w:numId w:val="0"/>
      </w:numPr>
      <w:tabs>
        <w:tab w:val="right" w:leader="dot" w:pos="4176"/>
      </w:tabs>
    </w:pPr>
  </w:style>
  <w:style w:type="paragraph" w:styleId="ListNumber2">
    <w:name w:val="List Number 2"/>
    <w:basedOn w:val="List2"/>
    <w:rsid w:val="000D44B4"/>
    <w:pPr>
      <w:numPr>
        <w:numId w:val="9"/>
      </w:numPr>
      <w:tabs>
        <w:tab w:val="clear" w:pos="1060"/>
      </w:tabs>
    </w:pPr>
  </w:style>
  <w:style w:type="paragraph" w:customStyle="1" w:styleId="MarginNote">
    <w:name w:val="Margin Note"/>
    <w:basedOn w:val="BodyText"/>
    <w:rsid w:val="000D44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4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4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4B4"/>
    <w:rPr>
      <w:sz w:val="32"/>
    </w:rPr>
  </w:style>
  <w:style w:type="paragraph" w:customStyle="1" w:styleId="HeadingProcedure">
    <w:name w:val="Heading Procedure"/>
    <w:basedOn w:val="HeadingBase"/>
    <w:next w:val="Normal"/>
    <w:rsid w:val="000D44B4"/>
    <w:pPr>
      <w:tabs>
        <w:tab w:val="left" w:pos="0"/>
      </w:tabs>
      <w:spacing w:before="120" w:after="60"/>
    </w:pPr>
    <w:rPr>
      <w:i/>
      <w:color w:val="918585"/>
      <w:sz w:val="22"/>
    </w:rPr>
  </w:style>
  <w:style w:type="paragraph" w:customStyle="1" w:styleId="TableBodyText">
    <w:name w:val="Table Body Text"/>
    <w:basedOn w:val="BodyText"/>
    <w:rsid w:val="000D44B4"/>
    <w:pPr>
      <w:spacing w:before="60" w:after="60"/>
    </w:pPr>
  </w:style>
  <w:style w:type="paragraph" w:styleId="ListContinue">
    <w:name w:val="List Continue"/>
    <w:basedOn w:val="List"/>
    <w:rsid w:val="000D44B4"/>
    <w:pPr>
      <w:ind w:firstLine="0"/>
    </w:pPr>
  </w:style>
  <w:style w:type="paragraph" w:customStyle="1" w:styleId="ListNote">
    <w:name w:val="List Note"/>
    <w:basedOn w:val="List"/>
    <w:rsid w:val="000D44B4"/>
    <w:pPr>
      <w:pBdr>
        <w:top w:val="single" w:sz="6" w:space="2" w:color="918585"/>
        <w:bottom w:val="single" w:sz="6" w:space="2" w:color="918585"/>
      </w:pBdr>
      <w:tabs>
        <w:tab w:val="left" w:pos="1021"/>
      </w:tabs>
      <w:ind w:firstLine="0"/>
    </w:pPr>
  </w:style>
  <w:style w:type="paragraph" w:customStyle="1" w:styleId="Warning">
    <w:name w:val="Warning"/>
    <w:basedOn w:val="BodyText"/>
    <w:rsid w:val="000D44B4"/>
    <w:pPr>
      <w:shd w:val="clear" w:color="auto" w:fill="D9D9D9"/>
      <w:tabs>
        <w:tab w:val="left" w:pos="992"/>
      </w:tabs>
      <w:ind w:left="119" w:right="119"/>
    </w:pPr>
    <w:rPr>
      <w:sz w:val="20"/>
    </w:rPr>
  </w:style>
  <w:style w:type="paragraph" w:customStyle="1" w:styleId="MarginIcons">
    <w:name w:val="Margin Icons"/>
    <w:basedOn w:val="BodyText"/>
    <w:rsid w:val="000D44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4B4"/>
    <w:rPr>
      <w:rFonts w:ascii="Courier New" w:hAnsi="Courier New"/>
    </w:rPr>
  </w:style>
  <w:style w:type="paragraph" w:customStyle="1" w:styleId="NoteBullet">
    <w:name w:val="Note Bullet"/>
    <w:basedOn w:val="Note"/>
    <w:rsid w:val="000D44B4"/>
    <w:pPr>
      <w:tabs>
        <w:tab w:val="clear" w:pos="680"/>
      </w:tabs>
      <w:spacing w:before="60" w:after="60"/>
    </w:pPr>
  </w:style>
  <w:style w:type="paragraph" w:customStyle="1" w:styleId="SubHeading2">
    <w:name w:val="SubHeading2"/>
    <w:basedOn w:val="HeadingBase"/>
    <w:rsid w:val="000D44B4"/>
    <w:pPr>
      <w:spacing w:before="240" w:after="60"/>
    </w:pPr>
    <w:rPr>
      <w:sz w:val="20"/>
    </w:rPr>
  </w:style>
  <w:style w:type="paragraph" w:customStyle="1" w:styleId="SubHeading1">
    <w:name w:val="SubHeading1"/>
    <w:basedOn w:val="HeadingBase"/>
    <w:rsid w:val="000D44B4"/>
    <w:pPr>
      <w:spacing w:before="240" w:after="60"/>
    </w:pPr>
    <w:rPr>
      <w:color w:val="918585"/>
      <w:sz w:val="22"/>
    </w:rPr>
  </w:style>
  <w:style w:type="paragraph" w:customStyle="1" w:styleId="SideHeading">
    <w:name w:val="Side Heading"/>
    <w:basedOn w:val="HeadingBase"/>
    <w:rsid w:val="000D44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4B4"/>
    <w:pPr>
      <w:numPr>
        <w:numId w:val="10"/>
      </w:numPr>
    </w:pPr>
  </w:style>
  <w:style w:type="paragraph" w:styleId="PlainText">
    <w:name w:val="Plain Text"/>
    <w:basedOn w:val="Normal"/>
    <w:link w:val="PlainTextChar"/>
    <w:rsid w:val="000D44B4"/>
    <w:rPr>
      <w:sz w:val="20"/>
    </w:rPr>
  </w:style>
  <w:style w:type="character" w:customStyle="1" w:styleId="PlainTextChar">
    <w:name w:val="Plain Text Char"/>
    <w:basedOn w:val="DefaultParagraphFont"/>
    <w:link w:val="PlainText"/>
    <w:rsid w:val="000D44B4"/>
    <w:rPr>
      <w:rFonts w:ascii="Courier New" w:eastAsia="Times New Roman" w:hAnsi="Courier New" w:cs="Times New Roman"/>
      <w:sz w:val="20"/>
      <w:szCs w:val="20"/>
      <w:lang w:eastAsia="en-US"/>
    </w:rPr>
  </w:style>
  <w:style w:type="character" w:customStyle="1" w:styleId="MenuOption">
    <w:name w:val="Menu Option"/>
    <w:basedOn w:val="DefaultParagraphFont"/>
    <w:rsid w:val="000D44B4"/>
    <w:rPr>
      <w:b/>
      <w:smallCaps/>
    </w:rPr>
  </w:style>
  <w:style w:type="paragraph" w:customStyle="1" w:styleId="TableListNumber">
    <w:name w:val="Table List Number"/>
    <w:basedOn w:val="ListNumber"/>
    <w:rsid w:val="000D44B4"/>
    <w:pPr>
      <w:numPr>
        <w:numId w:val="0"/>
      </w:numPr>
    </w:pPr>
  </w:style>
  <w:style w:type="paragraph" w:styleId="TOC4">
    <w:name w:val="toc 4"/>
    <w:basedOn w:val="TOCBase"/>
    <w:next w:val="Normal"/>
    <w:semiHidden/>
    <w:rsid w:val="000D44B4"/>
    <w:pPr>
      <w:tabs>
        <w:tab w:val="right" w:leader="dot" w:pos="9071"/>
      </w:tabs>
      <w:ind w:left="1701"/>
    </w:pPr>
  </w:style>
  <w:style w:type="paragraph" w:customStyle="1" w:styleId="ListAlpha">
    <w:name w:val="List Alpha"/>
    <w:basedOn w:val="List"/>
    <w:rsid w:val="000D44B4"/>
    <w:pPr>
      <w:numPr>
        <w:numId w:val="8"/>
      </w:numPr>
    </w:pPr>
  </w:style>
  <w:style w:type="paragraph" w:customStyle="1" w:styleId="ListAlpha2">
    <w:name w:val="List Alpha 2"/>
    <w:basedOn w:val="List2"/>
    <w:rsid w:val="000D44B4"/>
    <w:pPr>
      <w:numPr>
        <w:numId w:val="7"/>
      </w:numPr>
    </w:pPr>
  </w:style>
  <w:style w:type="paragraph" w:styleId="List2">
    <w:name w:val="List 2"/>
    <w:basedOn w:val="BodyText"/>
    <w:rsid w:val="000D44B4"/>
    <w:pPr>
      <w:tabs>
        <w:tab w:val="left" w:pos="680"/>
      </w:tabs>
      <w:spacing w:before="60" w:after="60"/>
      <w:ind w:left="680" w:hanging="340"/>
    </w:pPr>
  </w:style>
  <w:style w:type="paragraph" w:styleId="List3">
    <w:name w:val="List 3"/>
    <w:basedOn w:val="BodyText"/>
    <w:rsid w:val="000D44B4"/>
    <w:pPr>
      <w:tabs>
        <w:tab w:val="left" w:pos="1021"/>
      </w:tabs>
      <w:spacing w:before="60" w:after="60"/>
      <w:ind w:left="1020" w:hanging="340"/>
    </w:pPr>
  </w:style>
  <w:style w:type="paragraph" w:styleId="List4">
    <w:name w:val="List 4"/>
    <w:basedOn w:val="BodyText"/>
    <w:rsid w:val="000D44B4"/>
    <w:pPr>
      <w:tabs>
        <w:tab w:val="left" w:pos="1361"/>
      </w:tabs>
      <w:spacing w:before="60" w:after="60"/>
      <w:ind w:left="1361" w:hanging="340"/>
    </w:pPr>
  </w:style>
  <w:style w:type="paragraph" w:styleId="List5">
    <w:name w:val="List 5"/>
    <w:basedOn w:val="BodyText"/>
    <w:rsid w:val="000D44B4"/>
    <w:pPr>
      <w:tabs>
        <w:tab w:val="left" w:pos="1701"/>
      </w:tabs>
      <w:spacing w:before="60" w:after="60"/>
      <w:ind w:left="1701" w:hanging="340"/>
    </w:pPr>
  </w:style>
  <w:style w:type="paragraph" w:styleId="ListBullet3">
    <w:name w:val="List Bullet 3"/>
    <w:basedOn w:val="List3"/>
    <w:rsid w:val="000D44B4"/>
    <w:pPr>
      <w:numPr>
        <w:numId w:val="13"/>
      </w:numPr>
      <w:tabs>
        <w:tab w:val="clear" w:pos="1021"/>
      </w:tabs>
      <w:ind w:left="1037" w:hanging="357"/>
    </w:pPr>
  </w:style>
  <w:style w:type="paragraph" w:styleId="ListBullet4">
    <w:name w:val="List Bullet 4"/>
    <w:basedOn w:val="List4"/>
    <w:rsid w:val="000D44B4"/>
    <w:pPr>
      <w:numPr>
        <w:numId w:val="2"/>
      </w:numPr>
      <w:tabs>
        <w:tab w:val="clear" w:pos="1361"/>
      </w:tabs>
    </w:pPr>
  </w:style>
  <w:style w:type="paragraph" w:styleId="ListBullet5">
    <w:name w:val="List Bullet 5"/>
    <w:basedOn w:val="List5"/>
    <w:rsid w:val="000D44B4"/>
    <w:pPr>
      <w:numPr>
        <w:numId w:val="3"/>
      </w:numPr>
    </w:pPr>
  </w:style>
  <w:style w:type="paragraph" w:styleId="ListContinue2">
    <w:name w:val="List Continue 2"/>
    <w:basedOn w:val="List2"/>
    <w:rsid w:val="000D44B4"/>
    <w:pPr>
      <w:ind w:firstLine="0"/>
    </w:pPr>
  </w:style>
  <w:style w:type="paragraph" w:styleId="ListContinue3">
    <w:name w:val="List Continue 3"/>
    <w:basedOn w:val="List3"/>
    <w:rsid w:val="000D44B4"/>
    <w:pPr>
      <w:ind w:left="1021" w:firstLine="0"/>
    </w:pPr>
  </w:style>
  <w:style w:type="paragraph" w:styleId="ListContinue4">
    <w:name w:val="List Continue 4"/>
    <w:basedOn w:val="List4"/>
    <w:rsid w:val="000D44B4"/>
    <w:pPr>
      <w:ind w:firstLine="0"/>
    </w:pPr>
  </w:style>
  <w:style w:type="paragraph" w:styleId="ListContinue5">
    <w:name w:val="List Continue 5"/>
    <w:basedOn w:val="List5"/>
    <w:rsid w:val="000D44B4"/>
    <w:pPr>
      <w:ind w:firstLine="0"/>
    </w:pPr>
  </w:style>
  <w:style w:type="paragraph" w:styleId="ListNumber3">
    <w:name w:val="List Number 3"/>
    <w:basedOn w:val="List3"/>
    <w:rsid w:val="000D44B4"/>
    <w:pPr>
      <w:numPr>
        <w:numId w:val="4"/>
      </w:numPr>
    </w:pPr>
  </w:style>
  <w:style w:type="paragraph" w:styleId="ListNumber4">
    <w:name w:val="List Number 4"/>
    <w:basedOn w:val="List4"/>
    <w:rsid w:val="000D44B4"/>
    <w:pPr>
      <w:numPr>
        <w:numId w:val="5"/>
      </w:numPr>
    </w:pPr>
  </w:style>
  <w:style w:type="paragraph" w:styleId="ListNumber5">
    <w:name w:val="List Number 5"/>
    <w:basedOn w:val="List5"/>
    <w:rsid w:val="000D44B4"/>
    <w:pPr>
      <w:numPr>
        <w:numId w:val="6"/>
      </w:numPr>
    </w:pPr>
  </w:style>
  <w:style w:type="paragraph" w:styleId="BlockText">
    <w:name w:val="Block Text"/>
    <w:basedOn w:val="Normal"/>
    <w:rsid w:val="000D44B4"/>
    <w:pPr>
      <w:spacing w:after="120"/>
      <w:ind w:left="1440" w:right="1440"/>
    </w:pPr>
  </w:style>
  <w:style w:type="character" w:customStyle="1" w:styleId="Subscript">
    <w:name w:val="Subscript"/>
    <w:basedOn w:val="DefaultParagraphFont"/>
    <w:rsid w:val="000D44B4"/>
    <w:rPr>
      <w:sz w:val="16"/>
      <w:vertAlign w:val="subscript"/>
    </w:rPr>
  </w:style>
  <w:style w:type="character" w:customStyle="1" w:styleId="Superscript">
    <w:name w:val="Superscript"/>
    <w:basedOn w:val="DefaultParagraphFont"/>
    <w:rsid w:val="000D44B4"/>
    <w:rPr>
      <w:sz w:val="16"/>
      <w:vertAlign w:val="superscript"/>
    </w:rPr>
  </w:style>
  <w:style w:type="character" w:customStyle="1" w:styleId="Symbols">
    <w:name w:val="Symbols"/>
    <w:basedOn w:val="DefaultParagraphFont"/>
    <w:rsid w:val="000D44B4"/>
    <w:rPr>
      <w:rFonts w:ascii="Symbol" w:hAnsi="Symbol"/>
    </w:rPr>
  </w:style>
  <w:style w:type="character" w:customStyle="1" w:styleId="MenuOptions">
    <w:name w:val="Menu Options"/>
    <w:basedOn w:val="DefaultParagraphFont"/>
    <w:rsid w:val="000D44B4"/>
    <w:rPr>
      <w:rFonts w:ascii="Arial Narrow" w:hAnsi="Arial Narrow"/>
      <w:smallCaps/>
    </w:rPr>
  </w:style>
  <w:style w:type="character" w:customStyle="1" w:styleId="Buttons">
    <w:name w:val="Buttons"/>
    <w:basedOn w:val="DefaultParagraphFont"/>
    <w:rsid w:val="000D44B4"/>
    <w:rPr>
      <w:b/>
    </w:rPr>
  </w:style>
  <w:style w:type="character" w:customStyle="1" w:styleId="Underlined">
    <w:name w:val="Underlined"/>
    <w:basedOn w:val="DefaultParagraphFont"/>
    <w:rsid w:val="000D44B4"/>
    <w:rPr>
      <w:u w:val="single"/>
    </w:rPr>
  </w:style>
  <w:style w:type="paragraph" w:customStyle="1" w:styleId="TableBodyTextRight">
    <w:name w:val="Table Body Text Right"/>
    <w:basedOn w:val="TableBodyText"/>
    <w:rsid w:val="000D44B4"/>
    <w:pPr>
      <w:widowControl w:val="0"/>
      <w:autoSpaceDE w:val="0"/>
      <w:autoSpaceDN w:val="0"/>
      <w:adjustRightInd w:val="0"/>
      <w:jc w:val="right"/>
    </w:pPr>
    <w:rPr>
      <w:rFonts w:cs="Arial"/>
      <w:szCs w:val="18"/>
    </w:rPr>
  </w:style>
  <w:style w:type="paragraph" w:customStyle="1" w:styleId="CopyrightText">
    <w:name w:val="Copyright Text"/>
    <w:basedOn w:val="BodyText"/>
    <w:rsid w:val="000D44B4"/>
    <w:rPr>
      <w:sz w:val="18"/>
    </w:rPr>
  </w:style>
  <w:style w:type="paragraph" w:customStyle="1" w:styleId="BodySmallRight">
    <w:name w:val="Body Small Right"/>
    <w:basedOn w:val="BodyTextRight"/>
    <w:rsid w:val="000D44B4"/>
    <w:rPr>
      <w:sz w:val="18"/>
      <w:szCs w:val="18"/>
    </w:rPr>
  </w:style>
  <w:style w:type="paragraph" w:customStyle="1" w:styleId="MarginEdition">
    <w:name w:val="Margin Edition"/>
    <w:basedOn w:val="MarginNote"/>
    <w:rsid w:val="000D44B4"/>
    <w:pPr>
      <w:spacing w:before="0" w:after="0"/>
    </w:pPr>
    <w:rPr>
      <w:rFonts w:ascii="Times New Roman" w:hAnsi="Times New Roman"/>
      <w:color w:val="999999"/>
    </w:rPr>
  </w:style>
  <w:style w:type="paragraph" w:customStyle="1" w:styleId="Spacer">
    <w:name w:val="Spacer"/>
    <w:basedOn w:val="Normal"/>
    <w:rsid w:val="000D44B4"/>
    <w:rPr>
      <w:sz w:val="2"/>
      <w:szCs w:val="2"/>
    </w:rPr>
  </w:style>
  <w:style w:type="character" w:customStyle="1" w:styleId="Small">
    <w:name w:val="Small"/>
    <w:basedOn w:val="DefaultParagraphFont"/>
    <w:rsid w:val="000D44B4"/>
    <w:rPr>
      <w:sz w:val="16"/>
    </w:rPr>
  </w:style>
  <w:style w:type="paragraph" w:customStyle="1" w:styleId="WideTable">
    <w:name w:val="Wide Table"/>
    <w:basedOn w:val="Normal"/>
    <w:rsid w:val="000D44B4"/>
    <w:pPr>
      <w:ind w:left="-1418"/>
    </w:pPr>
    <w:rPr>
      <w:sz w:val="2"/>
      <w:szCs w:val="2"/>
    </w:rPr>
  </w:style>
  <w:style w:type="character" w:styleId="PageNumber">
    <w:name w:val="page number"/>
    <w:basedOn w:val="DefaultParagraphFont"/>
    <w:rsid w:val="000D44B4"/>
  </w:style>
  <w:style w:type="paragraph" w:styleId="Quote">
    <w:name w:val="Quote"/>
    <w:basedOn w:val="Heading1"/>
    <w:link w:val="QuoteChar"/>
    <w:qFormat/>
    <w:rsid w:val="000D44B4"/>
    <w:rPr>
      <w:b w:val="0"/>
      <w:sz w:val="72"/>
      <w:szCs w:val="72"/>
      <w:lang w:val="en-NZ"/>
    </w:rPr>
  </w:style>
  <w:style w:type="character" w:customStyle="1" w:styleId="QuoteChar">
    <w:name w:val="Quote Char"/>
    <w:basedOn w:val="DefaultParagraphFont"/>
    <w:link w:val="Quote"/>
    <w:rsid w:val="000D44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4B4"/>
    <w:pPr>
      <w:pageBreakBefore/>
    </w:pPr>
  </w:style>
  <w:style w:type="paragraph" w:customStyle="1" w:styleId="Border">
    <w:name w:val="Border"/>
    <w:basedOn w:val="Normal"/>
    <w:qFormat/>
    <w:rsid w:val="000D44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4B4"/>
    <w:rPr>
      <w:b/>
      <w:bCs/>
      <w:i/>
      <w:iCs/>
      <w:color w:val="auto"/>
    </w:rPr>
  </w:style>
  <w:style w:type="paragraph" w:styleId="IntenseQuote">
    <w:name w:val="Intense Quote"/>
    <w:basedOn w:val="Normal"/>
    <w:next w:val="Normal"/>
    <w:link w:val="IntenseQuoteChar"/>
    <w:uiPriority w:val="30"/>
    <w:qFormat/>
    <w:rsid w:val="000D44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4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4B4"/>
    <w:rPr>
      <w:smallCaps/>
      <w:color w:val="auto"/>
      <w:u w:val="single"/>
    </w:rPr>
  </w:style>
  <w:style w:type="character" w:styleId="IntenseReference">
    <w:name w:val="Intense Reference"/>
    <w:basedOn w:val="DefaultParagraphFont"/>
    <w:uiPriority w:val="32"/>
    <w:qFormat/>
    <w:rsid w:val="000D44B4"/>
    <w:rPr>
      <w:b/>
      <w:bCs/>
      <w:smallCaps/>
      <w:color w:val="auto"/>
      <w:spacing w:val="5"/>
      <w:u w:val="single"/>
    </w:rPr>
  </w:style>
  <w:style w:type="paragraph" w:customStyle="1" w:styleId="2ColumnHeading">
    <w:name w:val="2Column Heading"/>
    <w:basedOn w:val="BodyText"/>
    <w:qFormat/>
    <w:rsid w:val="000D44B4"/>
    <w:pPr>
      <w:spacing w:after="60"/>
      <w:ind w:left="-2268"/>
    </w:pPr>
    <w:rPr>
      <w:b/>
    </w:rPr>
  </w:style>
  <w:style w:type="paragraph" w:customStyle="1" w:styleId="Heading1TOC">
    <w:name w:val="Heading1 TOC"/>
    <w:basedOn w:val="Normal"/>
    <w:qFormat/>
    <w:rsid w:val="000D44B4"/>
    <w:pPr>
      <w:spacing w:before="240" w:after="120"/>
    </w:pPr>
    <w:rPr>
      <w:rFonts w:ascii="Times New Roman" w:hAnsi="Times New Roman"/>
      <w:b/>
      <w:sz w:val="32"/>
    </w:rPr>
  </w:style>
  <w:style w:type="paragraph" w:customStyle="1" w:styleId="Heading2TOC">
    <w:name w:val="Heading2 TOC"/>
    <w:basedOn w:val="Normal"/>
    <w:qFormat/>
    <w:rsid w:val="000D44B4"/>
    <w:pPr>
      <w:spacing w:before="240" w:after="60"/>
    </w:pPr>
    <w:rPr>
      <w:rFonts w:ascii="Times New Roman" w:hAnsi="Times New Roman"/>
      <w:b/>
      <w:sz w:val="28"/>
    </w:rPr>
  </w:style>
  <w:style w:type="character" w:customStyle="1" w:styleId="Underline">
    <w:name w:val="Underline"/>
    <w:basedOn w:val="DefaultParagraphFont"/>
    <w:qFormat/>
    <w:rsid w:val="000D44B4"/>
    <w:rPr>
      <w:u w:val="single"/>
    </w:rPr>
  </w:style>
  <w:style w:type="character" w:customStyle="1" w:styleId="BoldandItalics">
    <w:name w:val="Bold and Italics"/>
    <w:qFormat/>
    <w:rsid w:val="000D44B4"/>
    <w:rPr>
      <w:b/>
      <w:i/>
      <w:u w:val="none"/>
    </w:rPr>
  </w:style>
  <w:style w:type="paragraph" w:styleId="BalloonText">
    <w:name w:val="Balloon Text"/>
    <w:basedOn w:val="Normal"/>
    <w:link w:val="BalloonTextChar"/>
    <w:rsid w:val="000D44B4"/>
    <w:rPr>
      <w:rFonts w:ascii="Tahoma" w:hAnsi="Tahoma" w:cs="Tahoma"/>
      <w:sz w:val="16"/>
      <w:szCs w:val="16"/>
    </w:rPr>
  </w:style>
  <w:style w:type="character" w:customStyle="1" w:styleId="BalloonTextChar">
    <w:name w:val="Balloon Text Char"/>
    <w:basedOn w:val="DefaultParagraphFont"/>
    <w:link w:val="BalloonText"/>
    <w:rsid w:val="000D44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4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4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4B4"/>
    <w:rPr>
      <w:b/>
      <w:color w:val="660033"/>
      <w:spacing w:val="0"/>
    </w:rPr>
  </w:style>
  <w:style w:type="paragraph" w:customStyle="1" w:styleId="Nameditemlist">
    <w:name w:val="Named item list"/>
    <w:basedOn w:val="BodyText"/>
    <w:qFormat/>
    <w:rsid w:val="000D44B4"/>
    <w:pPr>
      <w:tabs>
        <w:tab w:val="left" w:pos="2835"/>
      </w:tabs>
      <w:ind w:left="2835" w:hanging="2835"/>
    </w:pPr>
  </w:style>
  <w:style w:type="paragraph" w:customStyle="1" w:styleId="BodyTextnopadding">
    <w:name w:val="Body Text no padding"/>
    <w:basedOn w:val="BodyText"/>
    <w:qFormat/>
    <w:rsid w:val="000D44B4"/>
    <w:pPr>
      <w:spacing w:before="0" w:after="0"/>
    </w:pPr>
  </w:style>
  <w:style w:type="paragraph" w:customStyle="1" w:styleId="BodyTextBold">
    <w:name w:val="Body Text Bold"/>
    <w:basedOn w:val="BodyText"/>
    <w:qFormat/>
    <w:rsid w:val="000D44B4"/>
    <w:rPr>
      <w:b/>
    </w:rPr>
  </w:style>
  <w:style w:type="character" w:styleId="Hyperlink">
    <w:name w:val="Hyperlink"/>
    <w:basedOn w:val="DefaultParagraphFont"/>
    <w:uiPriority w:val="99"/>
    <w:unhideWhenUsed/>
    <w:rsid w:val="00E00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5744</Characters>
  <Application>Microsoft Office Word</Application>
  <DocSecurity>0</DocSecurity>
  <Lines>179</Lines>
  <Paragraphs>114</Paragraphs>
  <ScaleCrop>false</ScaleCrop>
  <Company>Author-it Software Corporation Ltd.</Company>
  <LinksUpToDate>false</LinksUpToDate>
  <CharactersWithSpaces>6513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TLIB3016 De-rig, pack and store tools and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