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40E" w:rsidP="002C340E">
      <w:pPr>
        <w:pStyle w:val="Title"/>
      </w:pPr>
      <w:r>
        <w:fldChar w:fldCharType="begin"/>
      </w:r>
      <w:r>
        <w:instrText xml:space="preserve"> TITLE   \* MERGEFORMAT </w:instrText>
      </w:r>
      <w:r>
        <w:fldChar w:fldCharType="separate"/>
      </w:r>
      <w:r>
        <w:t>Assessment Requirements for TLIB3002 Test equipment and isolate faults</w:t>
      </w:r>
      <w:r>
        <w:fldChar w:fldCharType="end"/>
      </w:r>
    </w:p>
    <w:p w:rsidR="002C340E" w:rsidP="002C340E">
      <w:pPr>
        <w:pStyle w:val="Version"/>
        <w:sectPr w:rsidSect="001B66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B663D" w:rsidP="001B663D">
      <w:pPr>
        <w:pStyle w:val="SuperHeading"/>
      </w:pPr>
      <w:r w:rsidRPr="001B663D">
        <w:t>Assessment Requirements for TLIB3002 Test equipment and isolate faults</w:t>
      </w:r>
    </w:p>
    <w:p w:rsidR="00000000" w:rsidRPr="001B663D" w:rsidP="001B663D">
      <w:pPr>
        <w:pStyle w:val="Heading1"/>
      </w:pPr>
      <w:bookmarkStart w:id="1" w:name="O_1195204"/>
      <w:bookmarkEnd w:id="1"/>
      <w:r w:rsidRPr="001B663D">
        <w:t>Modification History</w:t>
      </w:r>
    </w:p>
    <w:tbl>
      <w:tblPr>
        <w:tblW w:w="9497" w:type="dxa"/>
        <w:tblLayout w:type="fixed"/>
        <w:tblCellMar>
          <w:left w:w="62" w:type="dxa"/>
          <w:right w:w="62" w:type="dxa"/>
        </w:tblCellMar>
        <w:tblLook w:val="0000"/>
      </w:tblPr>
      <w:tblGrid>
        <w:gridCol w:w="9497"/>
      </w:tblGrid>
      <w:tr w:rsidTr="001B66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663D" w:rsidP="001B663D">
            <w:pPr>
              <w:pStyle w:val="BodyText"/>
            </w:pPr>
            <w:r w:rsidRPr="001B663D">
              <w:rPr>
                <w:rStyle w:val="SpecialBold"/>
              </w:rPr>
              <w:t>Release 2</w:t>
            </w:r>
            <w:r w:rsidRPr="001B663D">
              <w:t>. This is the second release of this unit of competency in the TLI Transport and Logistics Training Package:</w:t>
            </w:r>
          </w:p>
          <w:p w:rsidR="00000000" w:rsidRPr="001B663D" w:rsidP="001B663D">
            <w:pPr>
              <w:pStyle w:val="ListBullet"/>
            </w:pPr>
            <w:r w:rsidRPr="001B663D">
              <w:t>Minor statement changes Performance Evidence</w:t>
            </w:r>
          </w:p>
          <w:p w:rsidR="00000000" w:rsidRPr="001B663D" w:rsidP="001B663D">
            <w:pPr>
              <w:pStyle w:val="ListBullet"/>
            </w:pPr>
            <w:r w:rsidRPr="001B663D">
              <w:t>Minor statement changes Knowledge Evidence</w:t>
            </w:r>
          </w:p>
          <w:p w:rsidR="00000000" w:rsidP="001B663D">
            <w:pPr>
              <w:pStyle w:val="ListBullet"/>
              <w:rPr>
                <w:lang w:val="en-NZ"/>
              </w:rPr>
            </w:pPr>
            <w:r w:rsidRPr="001B663D">
              <w:t>Minor statement changes in Assessment Conditions.</w:t>
            </w:r>
          </w:p>
        </w:tc>
      </w:tr>
      <w:tr w:rsidTr="001B66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663D" w:rsidP="001B663D">
            <w:pPr>
              <w:pStyle w:val="BodyText"/>
            </w:pPr>
            <w:r w:rsidRPr="001B663D">
              <w:rPr>
                <w:rStyle w:val="SpecialBold"/>
              </w:rPr>
              <w:t>Release 1</w:t>
            </w:r>
            <w:r w:rsidRPr="001B663D">
              <w:t>. This is the first release of this unit of competency in the TLI Transport and Logistics Training Package.</w:t>
            </w:r>
          </w:p>
        </w:tc>
      </w:tr>
    </w:tbl>
    <w:p w:rsidR="002C340E" w:rsidP="001B663D">
      <w:pPr>
        <w:pStyle w:val="NoPaddingFontSize1"/>
      </w:pPr>
    </w:p>
    <w:p w:rsidR="002C340E" w:rsidP="001B663D">
      <w:pPr>
        <w:pStyle w:val="NoPaddingFontSize1"/>
      </w:pPr>
    </w:p>
    <w:p w:rsidR="00000000" w:rsidRPr="001B663D" w:rsidP="001B663D">
      <w:pPr>
        <w:pStyle w:val="Heading1"/>
      </w:pPr>
      <w:bookmarkStart w:id="2" w:name="O_1195203"/>
      <w:bookmarkEnd w:id="2"/>
      <w:r w:rsidRPr="001B663D">
        <w:t>Performance Evidence</w:t>
      </w:r>
    </w:p>
    <w:tbl>
      <w:tblPr>
        <w:tblW w:w="9497" w:type="dxa"/>
        <w:tblLayout w:type="fixed"/>
        <w:tblCellMar>
          <w:left w:w="62" w:type="dxa"/>
          <w:right w:w="62" w:type="dxa"/>
        </w:tblCellMar>
        <w:tblLook w:val="0000"/>
      </w:tblPr>
      <w:tblGrid>
        <w:gridCol w:w="9497"/>
      </w:tblGrid>
      <w:tr w:rsidTr="001B663D">
        <w:tblPrEx>
          <w:tblW w:w="9497" w:type="dxa"/>
          <w:tblLayout w:type="fixed"/>
          <w:tblCellMar>
            <w:left w:w="62" w:type="dxa"/>
            <w:right w:w="62" w:type="dxa"/>
          </w:tblCellMar>
          <w:tblLook w:val="0000"/>
        </w:tblPrEx>
        <w:trPr>
          <w:trHeight w:val="857"/>
        </w:trPr>
        <w:tc>
          <w:tcPr>
            <w:tcW w:w="9497" w:type="dxa"/>
            <w:tcBorders>
              <w:top w:val="nil"/>
              <w:left w:val="nil"/>
              <w:bottom w:val="nil"/>
              <w:right w:val="nil"/>
            </w:tcBorders>
            <w:tcMar>
              <w:top w:w="0" w:type="dxa"/>
              <w:left w:w="62" w:type="dxa"/>
              <w:bottom w:w="0" w:type="dxa"/>
              <w:right w:w="62" w:type="dxa"/>
            </w:tcMar>
          </w:tcPr>
          <w:p w:rsidR="00000000" w:rsidP="001B663D">
            <w:pPr>
              <w:pStyle w:val="BodyText"/>
              <w:rPr>
                <w:lang w:val="en-NZ"/>
              </w:rPr>
            </w:pPr>
            <w:r w:rsidRPr="001B663D">
              <w:t>Evidence required to demonstrate competence in this unit must be relevant to and satisfy all of the requirements of the elements and performance criteria on at least one occasion and include:</w:t>
            </w:r>
          </w:p>
        </w:tc>
      </w:tr>
      <w:tr w:rsidTr="001B663D">
        <w:tblPrEx>
          <w:tblW w:w="9497" w:type="dxa"/>
          <w:tblLayout w:type="fixed"/>
          <w:tblCellMar>
            <w:left w:w="62" w:type="dxa"/>
            <w:right w:w="62" w:type="dxa"/>
          </w:tblCellMar>
          <w:tblLook w:val="0000"/>
        </w:tblPrEx>
        <w:trPr>
          <w:trHeight w:val="284"/>
        </w:trPr>
        <w:tc>
          <w:tcPr>
            <w:tcW w:w="9497" w:type="dxa"/>
            <w:tcBorders>
              <w:top w:val="nil"/>
              <w:left w:val="nil"/>
              <w:bottom w:val="nil"/>
              <w:right w:val="nil"/>
            </w:tcBorders>
            <w:tcMar>
              <w:top w:w="0" w:type="dxa"/>
              <w:left w:w="62" w:type="dxa"/>
              <w:bottom w:w="0" w:type="dxa"/>
              <w:right w:w="62" w:type="dxa"/>
            </w:tcMar>
          </w:tcPr>
          <w:p w:rsidR="00000000" w:rsidRPr="001B663D" w:rsidP="001B663D">
            <w:pPr>
              <w:pStyle w:val="ListBullet"/>
            </w:pPr>
            <w:r w:rsidRPr="001B663D">
              <w:t>adapting to differences in equipment in accordance with operating procedures</w:t>
            </w:r>
          </w:p>
          <w:p w:rsidR="00000000" w:rsidRPr="001B663D" w:rsidP="001B663D">
            <w:pPr>
              <w:pStyle w:val="ListBullet"/>
            </w:pPr>
            <w:r w:rsidRPr="001B663D">
              <w:t>applying precautions and required actions to minimise, control or eliminate identified hazards, including:</w:t>
            </w:r>
          </w:p>
          <w:p w:rsidR="00000000" w:rsidRPr="001B663D" w:rsidP="001B663D">
            <w:pPr>
              <w:pStyle w:val="ListBullet2"/>
            </w:pPr>
            <w:r w:rsidRPr="001B663D">
              <w:t>modifying activities depending on operational contingencies, risk situa</w:t>
            </w:r>
            <w:r w:rsidRPr="001B663D">
              <w:t>tions and environments</w:t>
            </w:r>
          </w:p>
          <w:p w:rsidR="00000000" w:rsidRPr="001B663D" w:rsidP="001B663D">
            <w:pPr>
              <w:pStyle w:val="ListBullet2"/>
            </w:pPr>
            <w:r w:rsidRPr="001B663D">
              <w:t>reporting and/or rectifying identified problems, faults or malfunctions promptly in accordance with regulatory requirements and workplace procedures</w:t>
            </w:r>
          </w:p>
          <w:p w:rsidR="00000000" w:rsidRPr="001B663D" w:rsidP="001B663D">
            <w:pPr>
              <w:pStyle w:val="ListBullet"/>
            </w:pPr>
            <w:r w:rsidRPr="001B663D">
              <w:t>applying relevant legislation and workplace procedures</w:t>
            </w:r>
          </w:p>
          <w:p w:rsidR="00000000" w:rsidRPr="001B663D" w:rsidP="001B663D">
            <w:pPr>
              <w:pStyle w:val="ListBullet"/>
            </w:pPr>
            <w:r w:rsidRPr="001B663D">
              <w:t>communicating and working ef</w:t>
            </w:r>
            <w:r w:rsidRPr="001B663D">
              <w:t>fectively with others</w:t>
            </w:r>
          </w:p>
          <w:p w:rsidR="00000000" w:rsidRPr="001B663D" w:rsidP="001B663D">
            <w:pPr>
              <w:pStyle w:val="ListBullet"/>
            </w:pPr>
            <w:r w:rsidRPr="001B663D">
              <w:t xml:space="preserve">completing relevant documentation </w:t>
            </w:r>
          </w:p>
          <w:p w:rsidR="00000000" w:rsidRPr="001B663D" w:rsidP="001B663D">
            <w:pPr>
              <w:pStyle w:val="ListBullet"/>
            </w:pPr>
            <w:r w:rsidRPr="001B663D">
              <w:t>monitoring and prioritising work activities in terms of planned schedule</w:t>
            </w:r>
          </w:p>
          <w:p w:rsidR="00000000" w:rsidRPr="001B663D" w:rsidP="001B663D">
            <w:pPr>
              <w:pStyle w:val="ListBullet"/>
            </w:pPr>
            <w:r w:rsidRPr="001B663D">
              <w:t xml:space="preserve">reading, interpreting and following relevant instructions, procedures, information and signs </w:t>
            </w:r>
          </w:p>
          <w:p w:rsidR="00000000" w:rsidRPr="001B663D" w:rsidP="001B663D">
            <w:pPr>
              <w:pStyle w:val="ListBullet"/>
            </w:pPr>
            <w:r w:rsidRPr="001B663D">
              <w:t>selecting and using relevant meters, gauges, equipment and tools when testing equipment and isolating faults</w:t>
            </w:r>
          </w:p>
          <w:p w:rsidR="00000000" w:rsidRPr="001B663D" w:rsidP="001B663D">
            <w:pPr>
              <w:pStyle w:val="ListBullet"/>
            </w:pPr>
            <w:r w:rsidRPr="001B663D">
              <w:t>working systematically with required attention to detail without injury to self or others, or damage to goods or equipment.</w:t>
            </w:r>
          </w:p>
        </w:tc>
      </w:tr>
    </w:tbl>
    <w:p w:rsidR="002C340E" w:rsidP="001B663D">
      <w:pPr>
        <w:pStyle w:val="NoPaddingFontSize1"/>
      </w:pPr>
    </w:p>
    <w:p w:rsidR="002C340E" w:rsidP="001B663D">
      <w:pPr>
        <w:pStyle w:val="NoPaddingFontSize1"/>
      </w:pPr>
    </w:p>
    <w:p w:rsidR="00000000" w:rsidRPr="001B663D" w:rsidP="001B663D">
      <w:pPr>
        <w:pStyle w:val="Heading1"/>
      </w:pPr>
      <w:bookmarkStart w:id="3" w:name="O_1195202"/>
      <w:bookmarkEnd w:id="3"/>
      <w:r w:rsidRPr="001B663D">
        <w:t>Knowledge Evidence</w:t>
      </w:r>
    </w:p>
    <w:tbl>
      <w:tblPr>
        <w:tblW w:w="9497" w:type="dxa"/>
        <w:tblLayout w:type="fixed"/>
        <w:tblCellMar>
          <w:left w:w="62" w:type="dxa"/>
          <w:right w:w="62" w:type="dxa"/>
        </w:tblCellMar>
        <w:tblLook w:val="0000"/>
      </w:tblPr>
      <w:tblGrid>
        <w:gridCol w:w="9497"/>
      </w:tblGrid>
      <w:tr w:rsidTr="001B663D">
        <w:tblPrEx>
          <w:tblW w:w="9497" w:type="dxa"/>
          <w:tblLayout w:type="fixed"/>
          <w:tblCellMar>
            <w:left w:w="62" w:type="dxa"/>
            <w:right w:w="62" w:type="dxa"/>
          </w:tblCellMar>
          <w:tblLook w:val="0000"/>
        </w:tblPrEx>
        <w:trPr>
          <w:trHeight w:val="790"/>
        </w:trPr>
        <w:tc>
          <w:tcPr>
            <w:tcW w:w="9497" w:type="dxa"/>
            <w:tcBorders>
              <w:top w:val="nil"/>
              <w:left w:val="nil"/>
              <w:bottom w:val="nil"/>
              <w:right w:val="nil"/>
            </w:tcBorders>
            <w:tcMar>
              <w:top w:w="0" w:type="dxa"/>
              <w:left w:w="62" w:type="dxa"/>
              <w:bottom w:w="0" w:type="dxa"/>
              <w:right w:w="62" w:type="dxa"/>
            </w:tcMar>
          </w:tcPr>
          <w:p w:rsidR="00000000" w:rsidP="001B663D">
            <w:pPr>
              <w:pStyle w:val="BodyText"/>
              <w:rPr>
                <w:lang w:val="en-NZ"/>
              </w:rPr>
            </w:pPr>
            <w:r w:rsidRPr="001B663D">
              <w:t>Evidence required to demonstrate competence in this unit must be relevant to and satisfy all of the requirements of the elements and performance criteria and include knowledge of:</w:t>
            </w:r>
          </w:p>
        </w:tc>
      </w:tr>
      <w:tr w:rsidTr="001B663D">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1B663D" w:rsidP="001B663D">
            <w:pPr>
              <w:pStyle w:val="ListBullet"/>
            </w:pPr>
            <w:r w:rsidRPr="001B663D">
              <w:t>characteristics, capabilities and limitations of equipment concerned</w:t>
            </w:r>
          </w:p>
          <w:p w:rsidR="00000000" w:rsidRPr="001B663D" w:rsidP="001B663D">
            <w:pPr>
              <w:pStyle w:val="ListBullet"/>
            </w:pPr>
            <w:r w:rsidRPr="001B663D">
              <w:t>documentation and recording requirements</w:t>
            </w:r>
          </w:p>
          <w:p w:rsidR="00000000" w:rsidRPr="001B663D" w:rsidP="001B663D">
            <w:pPr>
              <w:pStyle w:val="ListBullet"/>
            </w:pPr>
            <w:r w:rsidRPr="001B663D">
              <w:t>fault-finding techniques, including identification of cost/time-effective rectification procedures</w:t>
            </w:r>
          </w:p>
          <w:p w:rsidR="00000000" w:rsidRPr="001B663D" w:rsidP="001B663D">
            <w:pPr>
              <w:pStyle w:val="ListBullet"/>
            </w:pPr>
            <w:r w:rsidRPr="001B663D">
              <w:t>faults that may occur with equipment, and appro</w:t>
            </w:r>
            <w:r w:rsidRPr="001B663D">
              <w:t xml:space="preserve">priate actions that can be taken to report and/or rectify identified equipment or component faults </w:t>
            </w:r>
          </w:p>
          <w:p w:rsidR="00000000" w:rsidRPr="001B663D" w:rsidP="001B663D">
            <w:pPr>
              <w:pStyle w:val="ListBullet"/>
            </w:pPr>
            <w:r w:rsidRPr="001B663D">
              <w:t>guidelines relating to the safe use of machinery and equipment, including tagging unserviceable or damaged items</w:t>
            </w:r>
          </w:p>
          <w:p w:rsidR="00000000" w:rsidRPr="001B663D" w:rsidP="001B663D">
            <w:pPr>
              <w:pStyle w:val="ListBullet"/>
            </w:pPr>
            <w:r w:rsidRPr="001B663D">
              <w:t xml:space="preserve">housekeeping standards and procedures </w:t>
            </w:r>
          </w:p>
          <w:p w:rsidR="00000000" w:rsidRPr="001B663D" w:rsidP="001B663D">
            <w:pPr>
              <w:pStyle w:val="ListBullet"/>
            </w:pPr>
            <w:r w:rsidRPr="001B663D">
              <w:t>oper</w:t>
            </w:r>
            <w:r w:rsidRPr="001B663D">
              <w:t>ational safety requirements for equipment concerned</w:t>
            </w:r>
          </w:p>
          <w:p w:rsidR="00000000" w:rsidRPr="001B663D" w:rsidP="001B663D">
            <w:pPr>
              <w:pStyle w:val="ListBullet"/>
            </w:pPr>
            <w:r w:rsidRPr="001B663D">
              <w:t>operational work systems, equipment, management and site operating systems for testing equipment and isolating faults</w:t>
            </w:r>
          </w:p>
          <w:p w:rsidR="00000000" w:rsidRPr="001B663D" w:rsidP="001B663D">
            <w:pPr>
              <w:pStyle w:val="ListBullet"/>
            </w:pPr>
            <w:r w:rsidRPr="001B663D">
              <w:t>relevant sections of regulatory requirements applicable to testing equipment and isola</w:t>
            </w:r>
            <w:r w:rsidRPr="001B663D">
              <w:t>ting faults</w:t>
            </w:r>
          </w:p>
          <w:p w:rsidR="00000000" w:rsidRPr="001B663D" w:rsidP="001B663D">
            <w:pPr>
              <w:pStyle w:val="ListBullet"/>
            </w:pPr>
            <w:r w:rsidRPr="001B663D">
              <w:t>site layout and obstacles</w:t>
            </w:r>
          </w:p>
          <w:p w:rsidR="00000000" w:rsidRPr="001B663D" w:rsidP="001B663D">
            <w:pPr>
              <w:pStyle w:val="ListBullet"/>
            </w:pPr>
            <w:r w:rsidRPr="001B663D">
              <w:t>tools, meters, gauges and equipment used when testing equipment and isolating faults and the precautions and procedures that should be followed in their use</w:t>
            </w:r>
          </w:p>
          <w:p w:rsidR="00000000" w:rsidRPr="001B663D" w:rsidP="001B663D">
            <w:pPr>
              <w:pStyle w:val="ListBullet"/>
            </w:pPr>
            <w:r w:rsidRPr="001B663D">
              <w:t>workplace procedures and policies for testing equipment and i</w:t>
            </w:r>
            <w:r w:rsidRPr="001B663D">
              <w:t>solating faults, including tagging and reporting faulty equipment and components.</w:t>
            </w:r>
          </w:p>
        </w:tc>
      </w:tr>
    </w:tbl>
    <w:p w:rsidR="00000000" w:rsidRPr="001B663D" w:rsidP="001B663D">
      <w:pPr>
        <w:pStyle w:val="NoPaddingFontSize1"/>
      </w:pPr>
    </w:p>
    <w:p w:rsidR="00000000" w:rsidRPr="001B663D" w:rsidP="001B663D">
      <w:pPr>
        <w:pStyle w:val="AllowPageBreak"/>
      </w:pPr>
    </w:p>
    <w:p w:rsidR="00000000" w:rsidRPr="001B663D" w:rsidP="001B663D">
      <w:pPr>
        <w:pStyle w:val="Heading1"/>
      </w:pPr>
      <w:bookmarkStart w:id="4" w:name="O_1195201"/>
      <w:bookmarkEnd w:id="4"/>
      <w:r w:rsidRPr="001B663D">
        <w:t>Assessment Conditions</w:t>
      </w:r>
    </w:p>
    <w:tbl>
      <w:tblPr>
        <w:tblW w:w="9497" w:type="dxa"/>
        <w:tblLayout w:type="fixed"/>
        <w:tblCellMar>
          <w:left w:w="62" w:type="dxa"/>
          <w:right w:w="62" w:type="dxa"/>
        </w:tblCellMar>
        <w:tblLook w:val="0000"/>
      </w:tblPr>
      <w:tblGrid>
        <w:gridCol w:w="9497"/>
      </w:tblGrid>
      <w:tr w:rsidTr="001B66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663D" w:rsidP="001B663D">
            <w:pPr>
              <w:pStyle w:val="BodyText"/>
            </w:pPr>
            <w:r w:rsidRPr="001B663D">
              <w:t xml:space="preserve">Assessors must hold credentials specified within the Standards for Registered Training Organisations current at the time of assessment. </w:t>
            </w:r>
          </w:p>
          <w:p w:rsidR="00000000" w:rsidRPr="001B663D" w:rsidP="001B663D">
            <w:pPr>
              <w:pStyle w:val="BodyText"/>
            </w:pPr>
            <w:r w:rsidRPr="001B663D">
              <w:t>Assessment must satisfy the Principles of Assessment and Rules of Evidence and all regulatory requirements included wit</w:t>
            </w:r>
            <w:r w:rsidRPr="001B663D">
              <w:t>hin the Standards for Registered Training Organisations current at the time of assessment.</w:t>
            </w:r>
          </w:p>
          <w:p w:rsidR="00000000" w:rsidRPr="001B663D" w:rsidP="001B663D">
            <w:pPr>
              <w:pStyle w:val="BodyText"/>
            </w:pPr>
            <w:r w:rsidRPr="001B663D">
              <w:t>Assessment must occur in workplace operational situations where it is appropriate to do so; where this is not appropriate, assessment must occur in simulated workpla</w:t>
            </w:r>
            <w:r w:rsidRPr="001B663D">
              <w:t xml:space="preserve">ce operational situations that replicate workplace conditions. </w:t>
            </w:r>
          </w:p>
          <w:p w:rsidR="00000000" w:rsidRPr="001B663D" w:rsidP="001B663D">
            <w:pPr>
              <w:pStyle w:val="BodyText"/>
            </w:pPr>
            <w:r w:rsidRPr="001B663D">
              <w:t>Assessment processes and techniques must be appropriate to the language, literacy and numeracy requirements of the work being performed and the needs of the candidate.</w:t>
            </w:r>
          </w:p>
          <w:p w:rsidR="00000000" w:rsidRPr="001B663D" w:rsidP="001B663D">
            <w:pPr>
              <w:pStyle w:val="BodyText"/>
            </w:pPr>
            <w:r w:rsidRPr="001B663D">
              <w:t>Resources for assessment</w:t>
            </w:r>
            <w:r w:rsidRPr="001B663D">
              <w:t xml:space="preserve"> must include access to:</w:t>
            </w:r>
          </w:p>
          <w:p w:rsidR="00000000" w:rsidRPr="001B663D" w:rsidP="001B663D">
            <w:pPr>
              <w:pStyle w:val="ListBullet"/>
            </w:pPr>
            <w:r w:rsidRPr="001B663D">
              <w:t>a range of relevant exercises, case studies and/or simulations</w:t>
            </w:r>
          </w:p>
          <w:p w:rsidR="00000000" w:rsidRPr="001B663D" w:rsidP="001B663D">
            <w:pPr>
              <w:pStyle w:val="ListBullet"/>
            </w:pPr>
            <w:r w:rsidRPr="001B663D">
              <w:t xml:space="preserve">relevant and appropriate materials, tools, equipment and personal protective equipment (PPE) currently used in industry </w:t>
            </w:r>
          </w:p>
          <w:p w:rsidR="00000000" w:rsidRPr="001B663D" w:rsidP="001B663D">
            <w:pPr>
              <w:pStyle w:val="ListBullet"/>
            </w:pPr>
            <w:r w:rsidRPr="001B663D">
              <w:t>applicable documentation including manufacture</w:t>
            </w:r>
            <w:r w:rsidRPr="001B663D">
              <w:t>rs specifications, workplace procedures, regulations, codes of practice and operation manuals.</w:t>
            </w:r>
          </w:p>
        </w:tc>
      </w:tr>
    </w:tbl>
    <w:p w:rsidR="00000000" w:rsidRPr="001B663D" w:rsidP="001B663D">
      <w:pPr>
        <w:pStyle w:val="NoPaddingFontSize1"/>
      </w:pPr>
    </w:p>
    <w:p w:rsidR="00000000" w:rsidRPr="001B663D" w:rsidP="001B663D">
      <w:pPr>
        <w:pStyle w:val="AllowPageBreak"/>
      </w:pPr>
    </w:p>
    <w:p w:rsidR="00000000" w:rsidRPr="001B663D" w:rsidP="001B663D">
      <w:pPr>
        <w:pStyle w:val="Heading1"/>
      </w:pPr>
      <w:bookmarkStart w:id="5" w:name="O_1195216"/>
      <w:bookmarkEnd w:id="5"/>
      <w:r w:rsidRPr="001B663D">
        <w:t>Links</w:t>
      </w:r>
    </w:p>
    <w:p w:rsidR="00000000" w:rsidRPr="001B663D" w:rsidP="002C340E">
      <w:pPr>
        <w:pStyle w:val="BodyText"/>
      </w:pPr>
      <w:r w:rsidRPr="001B663D">
        <w:t>Companion Volum</w:t>
      </w:r>
      <w:r w:rsidRPr="001B663D">
        <w:t xml:space="preserve">e Implementation Guides are found in VETNet - </w:t>
      </w:r>
      <w:r>
        <w:fldChar w:fldCharType="begin"/>
      </w:r>
      <w:r>
        <w:instrText xml:space="preserve"> HYPERLINK "https://vetnet.gov.au/Pages/TrainingDocs.aspx?q=df441c6e-213d-43e3-874c-0b3f7036d851" </w:instrText>
      </w:r>
      <w:r>
        <w:fldChar w:fldCharType="separate"/>
      </w:r>
      <w:r w:rsidRPr="00F13B5F">
        <w:rPr>
          <w:rStyle w:val="Hyperlink"/>
        </w:rPr>
        <w:t>https://vetnet.gov.au/Pages/TrainingDocs.aspx?q=df441c6e-213d-43e3-874c-0b3f7036d851</w:t>
      </w:r>
      <w:r>
        <w:fldChar w:fldCharType="end"/>
      </w:r>
    </w:p>
    <w:p w:rsidR="00000000" w:rsidRPr="001B663D" w:rsidP="001B663D"/>
    <w:sectPr w:rsidSect="001B66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6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63D" w:rsidRPr="002C340E" w:rsidP="002C34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6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40E" w:rsidP="001B66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340E" w:rsidP="001B663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C340E" w:rsidP="001B66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6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4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663D" w:rsidRPr="002C340E" w:rsidP="002C34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6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40E" w:rsidRPr="002D2AF8" w:rsidP="001B663D">
    <w:pPr>
      <w:pStyle w:val="Header"/>
      <w:framePr w:wrap="around"/>
    </w:pPr>
    <w:r>
      <w:fldChar w:fldCharType="begin"/>
    </w:r>
    <w:r>
      <w:instrText xml:space="preserve"> TITLE   \* MERGEFORMAT </w:instrText>
    </w:r>
    <w:r>
      <w:fldChar w:fldCharType="separate"/>
    </w:r>
    <w:r>
      <w:t>Assessment Requirements for TLIB3002 Test equipment and isolate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2C340E" w:rsidP="001B66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24F3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E0A2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2EF3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6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663D"/>
    <w:pPr>
      <w:spacing w:before="360" w:after="60"/>
      <w:outlineLvl w:val="0"/>
    </w:pPr>
    <w:rPr>
      <w:sz w:val="32"/>
    </w:rPr>
  </w:style>
  <w:style w:type="paragraph" w:styleId="Heading2">
    <w:name w:val="heading 2"/>
    <w:basedOn w:val="HeadingBase"/>
    <w:next w:val="BodyText"/>
    <w:link w:val="Heading2Char"/>
    <w:qFormat/>
    <w:rsid w:val="001B663D"/>
    <w:pPr>
      <w:keepLines/>
      <w:spacing w:before="240" w:after="120"/>
      <w:outlineLvl w:val="1"/>
    </w:pPr>
    <w:rPr>
      <w:sz w:val="28"/>
      <w:szCs w:val="40"/>
    </w:rPr>
  </w:style>
  <w:style w:type="paragraph" w:styleId="Heading3">
    <w:name w:val="heading 3"/>
    <w:basedOn w:val="HeadingBase"/>
    <w:next w:val="BodyText"/>
    <w:link w:val="Heading3Char"/>
    <w:qFormat/>
    <w:rsid w:val="001B663D"/>
    <w:pPr>
      <w:spacing w:before="180" w:after="120"/>
      <w:outlineLvl w:val="2"/>
    </w:pPr>
    <w:rPr>
      <w:spacing w:val="-10"/>
      <w:kern w:val="32"/>
    </w:rPr>
  </w:style>
  <w:style w:type="paragraph" w:styleId="Heading4">
    <w:name w:val="heading 4"/>
    <w:basedOn w:val="HeadingBase"/>
    <w:next w:val="BodyText"/>
    <w:link w:val="Heading4Char"/>
    <w:qFormat/>
    <w:rsid w:val="001B663D"/>
    <w:pPr>
      <w:spacing w:before="160" w:after="120"/>
      <w:outlineLvl w:val="3"/>
    </w:pPr>
    <w:rPr>
      <w:sz w:val="22"/>
    </w:rPr>
  </w:style>
  <w:style w:type="paragraph" w:styleId="Heading5">
    <w:name w:val="heading 5"/>
    <w:basedOn w:val="HeadingBase"/>
    <w:next w:val="Normal"/>
    <w:link w:val="Heading5Char"/>
    <w:qFormat/>
    <w:rsid w:val="001B663D"/>
    <w:pPr>
      <w:spacing w:before="80"/>
      <w:outlineLvl w:val="4"/>
    </w:pPr>
    <w:rPr>
      <w:color w:val="918585"/>
      <w:sz w:val="20"/>
    </w:rPr>
  </w:style>
  <w:style w:type="paragraph" w:styleId="Heading6">
    <w:name w:val="heading 6"/>
    <w:basedOn w:val="HeadingBase"/>
    <w:next w:val="Normal"/>
    <w:link w:val="Heading6Char"/>
    <w:qFormat/>
    <w:rsid w:val="001B663D"/>
    <w:pPr>
      <w:spacing w:before="60"/>
      <w:outlineLvl w:val="5"/>
    </w:pPr>
    <w:rPr>
      <w:color w:val="918585"/>
      <w:sz w:val="20"/>
    </w:rPr>
  </w:style>
  <w:style w:type="paragraph" w:styleId="Heading7">
    <w:name w:val="heading 7"/>
    <w:basedOn w:val="Normal"/>
    <w:next w:val="Normal"/>
    <w:link w:val="Heading7Char"/>
    <w:qFormat/>
    <w:rsid w:val="001B663D"/>
    <w:pPr>
      <w:ind w:left="720"/>
      <w:outlineLvl w:val="6"/>
    </w:pPr>
    <w:rPr>
      <w:i/>
    </w:rPr>
  </w:style>
  <w:style w:type="paragraph" w:styleId="Heading8">
    <w:name w:val="heading 8"/>
    <w:basedOn w:val="Normal"/>
    <w:next w:val="Normal"/>
    <w:link w:val="Heading8Char"/>
    <w:qFormat/>
    <w:rsid w:val="001B663D"/>
    <w:pPr>
      <w:ind w:left="720"/>
      <w:outlineLvl w:val="7"/>
    </w:pPr>
    <w:rPr>
      <w:i/>
    </w:rPr>
  </w:style>
  <w:style w:type="paragraph" w:styleId="Heading9">
    <w:name w:val="heading 9"/>
    <w:basedOn w:val="Normal"/>
    <w:next w:val="Normal"/>
    <w:link w:val="Heading9Char"/>
    <w:qFormat/>
    <w:rsid w:val="001B663D"/>
    <w:pPr>
      <w:ind w:left="720"/>
      <w:outlineLvl w:val="8"/>
    </w:pPr>
    <w:rPr>
      <w:i/>
    </w:rPr>
  </w:style>
  <w:style w:type="character" w:default="1" w:styleId="DefaultParagraphFont">
    <w:name w:val="Default Paragraph Font"/>
    <w:uiPriority w:val="1"/>
    <w:unhideWhenUsed/>
    <w:rsid w:val="001B66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663D"/>
  </w:style>
  <w:style w:type="character" w:customStyle="1" w:styleId="Heading1Char">
    <w:name w:val="Heading 1 Char"/>
    <w:basedOn w:val="DefaultParagraphFont"/>
    <w:link w:val="Heading1"/>
    <w:rsid w:val="001B663D"/>
    <w:rPr>
      <w:rFonts w:ascii="Times New Roman" w:eastAsia="Times New Roman" w:hAnsi="Times New Roman" w:cs="Times New Roman"/>
      <w:b/>
      <w:sz w:val="32"/>
      <w:szCs w:val="20"/>
      <w:lang w:eastAsia="en-US"/>
    </w:rPr>
  </w:style>
  <w:style w:type="paragraph" w:styleId="BodyText">
    <w:name w:val="Body Text"/>
    <w:basedOn w:val="Normal"/>
    <w:link w:val="BodyTextChar"/>
    <w:rsid w:val="001B66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663D"/>
    <w:rPr>
      <w:rFonts w:ascii="Times New Roman" w:eastAsia="Times New Roman" w:hAnsi="Times New Roman" w:cs="Times New Roman"/>
      <w:sz w:val="24"/>
      <w:lang w:eastAsia="en-US"/>
    </w:rPr>
  </w:style>
  <w:style w:type="paragraph" w:styleId="ListBullet">
    <w:name w:val="List Bullet"/>
    <w:basedOn w:val="List"/>
    <w:rsid w:val="001B663D"/>
    <w:pPr>
      <w:numPr>
        <w:numId w:val="12"/>
      </w:numPr>
      <w:tabs>
        <w:tab w:val="clear" w:pos="340"/>
      </w:tabs>
      <w:spacing w:before="40" w:after="40"/>
    </w:pPr>
  </w:style>
  <w:style w:type="character" w:customStyle="1" w:styleId="SpecialBold">
    <w:name w:val="Special Bold"/>
    <w:basedOn w:val="DefaultParagraphFont"/>
    <w:rsid w:val="001B663D"/>
    <w:rPr>
      <w:b/>
      <w:spacing w:val="0"/>
    </w:rPr>
  </w:style>
  <w:style w:type="paragraph" w:styleId="ListBullet2">
    <w:name w:val="List Bullet 2"/>
    <w:basedOn w:val="List2"/>
    <w:rsid w:val="001B663D"/>
    <w:pPr>
      <w:numPr>
        <w:numId w:val="13"/>
      </w:numPr>
      <w:tabs>
        <w:tab w:val="clear" w:pos="680"/>
      </w:tabs>
    </w:pPr>
  </w:style>
  <w:style w:type="paragraph" w:customStyle="1" w:styleId="SuperHeading">
    <w:name w:val="SuperHeading"/>
    <w:basedOn w:val="Normal"/>
    <w:rsid w:val="001B663D"/>
    <w:pPr>
      <w:spacing w:before="240" w:after="120"/>
      <w:outlineLvl w:val="0"/>
    </w:pPr>
    <w:rPr>
      <w:rFonts w:ascii="Times New Roman" w:hAnsi="Times New Roman"/>
      <w:b/>
      <w:sz w:val="32"/>
    </w:rPr>
  </w:style>
  <w:style w:type="paragraph" w:customStyle="1" w:styleId="AllowPageBreak">
    <w:name w:val="AllowPageBreak"/>
    <w:rsid w:val="001B663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B66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66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66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66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66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66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66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663D"/>
    <w:rPr>
      <w:rFonts w:ascii="Courier New" w:eastAsia="Times New Roman" w:hAnsi="Courier New" w:cs="Times New Roman"/>
      <w:i/>
      <w:szCs w:val="20"/>
      <w:lang w:eastAsia="en-US"/>
    </w:rPr>
  </w:style>
  <w:style w:type="paragraph" w:customStyle="1" w:styleId="HeadingBase">
    <w:name w:val="Heading Base"/>
    <w:rsid w:val="001B66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663D"/>
    <w:pPr>
      <w:tabs>
        <w:tab w:val="right" w:leader="dot" w:pos="9072"/>
      </w:tabs>
      <w:ind w:left="567"/>
    </w:pPr>
    <w:rPr>
      <w:szCs w:val="22"/>
    </w:rPr>
  </w:style>
  <w:style w:type="paragraph" w:customStyle="1" w:styleId="TOCBase">
    <w:name w:val="TOC Base"/>
    <w:rsid w:val="001B66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663D"/>
    <w:pPr>
      <w:tabs>
        <w:tab w:val="right" w:leader="dot" w:pos="9072"/>
      </w:tabs>
      <w:spacing w:before="40" w:after="40"/>
      <w:ind w:left="284"/>
    </w:pPr>
    <w:rPr>
      <w:rFonts w:ascii="Times New Roman" w:hAnsi="Times New Roman"/>
    </w:rPr>
  </w:style>
  <w:style w:type="paragraph" w:styleId="TOC1">
    <w:name w:val="toc 1"/>
    <w:basedOn w:val="TOCBase"/>
    <w:next w:val="Normal"/>
    <w:rsid w:val="001B66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66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663D"/>
    <w:rPr>
      <w:rFonts w:ascii="Times New Roman" w:eastAsia="Times New Roman" w:hAnsi="Times New Roman" w:cs="Times New Roman"/>
      <w:sz w:val="16"/>
      <w:lang w:eastAsia="en-US"/>
    </w:rPr>
  </w:style>
  <w:style w:type="paragraph" w:styleId="Title">
    <w:name w:val="Title"/>
    <w:basedOn w:val="HeadingBase"/>
    <w:link w:val="TitleChar"/>
    <w:qFormat/>
    <w:rsid w:val="001B663D"/>
    <w:pPr>
      <w:spacing w:before="5040"/>
      <w:jc w:val="center"/>
    </w:pPr>
    <w:rPr>
      <w:sz w:val="48"/>
      <w:szCs w:val="72"/>
      <w:lang w:val="en-US"/>
    </w:rPr>
  </w:style>
  <w:style w:type="character" w:customStyle="1" w:styleId="TitleChar">
    <w:name w:val="Title Char"/>
    <w:basedOn w:val="DefaultParagraphFont"/>
    <w:link w:val="Title"/>
    <w:rsid w:val="001B66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663D"/>
    <w:pPr>
      <w:tabs>
        <w:tab w:val="left" w:pos="3600"/>
        <w:tab w:val="left" w:pos="3958"/>
      </w:tabs>
    </w:pPr>
  </w:style>
  <w:style w:type="paragraph" w:styleId="List">
    <w:name w:val="List"/>
    <w:basedOn w:val="BodyText"/>
    <w:next w:val="BodyText"/>
    <w:rsid w:val="001B663D"/>
    <w:pPr>
      <w:tabs>
        <w:tab w:val="left" w:pos="340"/>
      </w:tabs>
      <w:spacing w:before="60" w:after="60"/>
      <w:ind w:left="340" w:hanging="340"/>
    </w:pPr>
  </w:style>
  <w:style w:type="paragraph" w:customStyle="1" w:styleId="Note">
    <w:name w:val="Note"/>
    <w:basedOn w:val="BodyText"/>
    <w:rsid w:val="001B66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663D"/>
    <w:pPr>
      <w:framePr w:wrap="auto" w:hAnchor="text" w:y="6049"/>
    </w:pPr>
    <w:rPr>
      <w:color w:val="000000"/>
      <w:sz w:val="40"/>
    </w:rPr>
  </w:style>
  <w:style w:type="paragraph" w:customStyle="1" w:styleId="TOCTitle">
    <w:name w:val="TOCTitle"/>
    <w:basedOn w:val="Heading1"/>
    <w:rsid w:val="001B663D"/>
    <w:pPr>
      <w:spacing w:after="240"/>
      <w:jc w:val="center"/>
      <w:outlineLvl w:val="9"/>
    </w:pPr>
    <w:rPr>
      <w:caps/>
    </w:rPr>
  </w:style>
  <w:style w:type="paragraph" w:customStyle="1" w:styleId="Version">
    <w:name w:val="Version"/>
    <w:rsid w:val="001B66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663D"/>
    <w:pPr>
      <w:keepNext w:val="0"/>
      <w:tabs>
        <w:tab w:val="right" w:pos="4176"/>
      </w:tabs>
      <w:ind w:left="198" w:hanging="198"/>
    </w:pPr>
    <w:rPr>
      <w:rFonts w:ascii="Garamond" w:hAnsi="Garamond"/>
    </w:rPr>
  </w:style>
  <w:style w:type="paragraph" w:styleId="IndexHeading">
    <w:name w:val="index heading"/>
    <w:basedOn w:val="Normal"/>
    <w:next w:val="Index1"/>
    <w:semiHidden/>
    <w:rsid w:val="001B663D"/>
    <w:pPr>
      <w:spacing w:before="120" w:after="120"/>
    </w:pPr>
    <w:rPr>
      <w:rFonts w:ascii="Arial" w:hAnsi="Arial"/>
      <w:b/>
      <w:color w:val="918585"/>
      <w:sz w:val="24"/>
    </w:rPr>
  </w:style>
  <w:style w:type="paragraph" w:styleId="Header">
    <w:name w:val="header"/>
    <w:basedOn w:val="Normal"/>
    <w:link w:val="HeaderChar"/>
    <w:rsid w:val="001B66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663D"/>
    <w:rPr>
      <w:rFonts w:ascii="Times New Roman" w:eastAsia="Times New Roman" w:hAnsi="Times New Roman" w:cs="Times New Roman"/>
      <w:sz w:val="16"/>
      <w:szCs w:val="20"/>
      <w:lang w:val="en-GB" w:eastAsia="en-US"/>
    </w:rPr>
  </w:style>
  <w:style w:type="paragraph" w:customStyle="1" w:styleId="Chapter">
    <w:name w:val="Chapter"/>
    <w:basedOn w:val="Normal"/>
    <w:rsid w:val="001B663D"/>
    <w:pPr>
      <w:spacing w:before="240"/>
    </w:pPr>
    <w:rPr>
      <w:rFonts w:ascii="Times New Roman" w:hAnsi="Times New Roman"/>
      <w:smallCaps/>
      <w:spacing w:val="80"/>
      <w:sz w:val="28"/>
    </w:rPr>
  </w:style>
  <w:style w:type="paragraph" w:customStyle="1" w:styleId="InChapter">
    <w:name w:val="InChapter"/>
    <w:basedOn w:val="Heading3"/>
    <w:rsid w:val="001B663D"/>
    <w:pPr>
      <w:spacing w:after="240"/>
      <w:outlineLvl w:val="9"/>
    </w:pPr>
    <w:rPr>
      <w:noProof/>
    </w:rPr>
  </w:style>
  <w:style w:type="paragraph" w:styleId="Index2">
    <w:name w:val="index 2"/>
    <w:basedOn w:val="Normal"/>
    <w:next w:val="Normal"/>
    <w:semiHidden/>
    <w:rsid w:val="001B663D"/>
    <w:pPr>
      <w:tabs>
        <w:tab w:val="right" w:pos="4176"/>
      </w:tabs>
      <w:ind w:left="568" w:hanging="284"/>
    </w:pPr>
    <w:rPr>
      <w:rFonts w:ascii="Garamond" w:hAnsi="Garamond"/>
    </w:rPr>
  </w:style>
  <w:style w:type="paragraph" w:customStyle="1" w:styleId="Byline">
    <w:name w:val="Byline"/>
    <w:rsid w:val="001B66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663D"/>
    <w:pPr>
      <w:tabs>
        <w:tab w:val="clear" w:pos="3600"/>
        <w:tab w:val="clear" w:pos="3958"/>
      </w:tabs>
      <w:jc w:val="right"/>
    </w:pPr>
  </w:style>
  <w:style w:type="character" w:styleId="Emphasis">
    <w:name w:val="Emphasis"/>
    <w:basedOn w:val="DefaultParagraphFont"/>
    <w:qFormat/>
    <w:rsid w:val="001B663D"/>
    <w:rPr>
      <w:i/>
    </w:rPr>
  </w:style>
  <w:style w:type="paragraph" w:styleId="Caption">
    <w:name w:val="caption"/>
    <w:basedOn w:val="BodyText"/>
    <w:next w:val="Normal"/>
    <w:qFormat/>
    <w:rsid w:val="001B663D"/>
    <w:pPr>
      <w:framePr w:w="2268" w:hSpace="181" w:vSpace="181" w:wrap="around" w:vAnchor="text" w:hAnchor="page" w:x="1135" w:y="285" w:anchorLock="1"/>
    </w:pPr>
    <w:rPr>
      <w:i/>
    </w:rPr>
  </w:style>
  <w:style w:type="paragraph" w:customStyle="1" w:styleId="MiniTOCTitle">
    <w:name w:val="MiniTOCTitle"/>
    <w:basedOn w:val="Heading4"/>
    <w:rsid w:val="001B663D"/>
    <w:pPr>
      <w:spacing w:before="240"/>
      <w:outlineLvl w:val="9"/>
    </w:pPr>
    <w:rPr>
      <w:noProof/>
      <w:sz w:val="24"/>
    </w:rPr>
  </w:style>
  <w:style w:type="paragraph" w:customStyle="1" w:styleId="MiniTOCItem">
    <w:name w:val="MiniTOCItem"/>
    <w:basedOn w:val="ListBullet"/>
    <w:rsid w:val="001B663D"/>
    <w:pPr>
      <w:numPr>
        <w:numId w:val="0"/>
      </w:numPr>
      <w:tabs>
        <w:tab w:val="right" w:leader="dot" w:pos="6521"/>
      </w:tabs>
      <w:spacing w:before="0" w:after="0"/>
    </w:pPr>
  </w:style>
  <w:style w:type="paragraph" w:customStyle="1" w:styleId="TOFTitle">
    <w:name w:val="TOFTitle"/>
    <w:basedOn w:val="TOCTitle"/>
    <w:rsid w:val="001B663D"/>
  </w:style>
  <w:style w:type="paragraph" w:styleId="TableofFigures">
    <w:name w:val="table of figures"/>
    <w:basedOn w:val="Normal"/>
    <w:next w:val="Normal"/>
    <w:semiHidden/>
    <w:rsid w:val="001B663D"/>
    <w:pPr>
      <w:tabs>
        <w:tab w:val="right" w:leader="dot" w:pos="9072"/>
      </w:tabs>
      <w:ind w:left="970" w:hanging="403"/>
    </w:pPr>
    <w:rPr>
      <w:rFonts w:ascii="Times New Roman" w:hAnsi="Times New Roman"/>
      <w:b/>
    </w:rPr>
  </w:style>
  <w:style w:type="paragraph" w:styleId="ListNumber">
    <w:name w:val="List Number"/>
    <w:basedOn w:val="List"/>
    <w:rsid w:val="001B663D"/>
    <w:pPr>
      <w:numPr>
        <w:numId w:val="15"/>
      </w:numPr>
      <w:tabs>
        <w:tab w:val="clear" w:pos="340"/>
      </w:tabs>
    </w:pPr>
  </w:style>
  <w:style w:type="character" w:customStyle="1" w:styleId="WingdingSymbols">
    <w:name w:val="Wingding Symbols"/>
    <w:rsid w:val="001B663D"/>
    <w:rPr>
      <w:rFonts w:ascii="Wingdings" w:hAnsi="Wingdings"/>
    </w:rPr>
  </w:style>
  <w:style w:type="paragraph" w:customStyle="1" w:styleId="TableHeading">
    <w:name w:val="Table Heading"/>
    <w:basedOn w:val="HeadingBase"/>
    <w:rsid w:val="001B663D"/>
    <w:pPr>
      <w:keepLines/>
      <w:pBdr>
        <w:bottom w:val="single" w:sz="6" w:space="1" w:color="918585"/>
      </w:pBdr>
      <w:spacing w:before="240"/>
    </w:pPr>
  </w:style>
  <w:style w:type="character" w:customStyle="1" w:styleId="HotSpot">
    <w:name w:val="HotSpot"/>
    <w:rsid w:val="001B663D"/>
    <w:rPr>
      <w:color w:val="0033CC"/>
      <w:u w:val="none"/>
    </w:rPr>
  </w:style>
  <w:style w:type="paragraph" w:customStyle="1" w:styleId="BodyTextRight">
    <w:name w:val="Body Text Right"/>
    <w:basedOn w:val="BodyText"/>
    <w:rsid w:val="001B663D"/>
    <w:pPr>
      <w:spacing w:before="0" w:after="0"/>
      <w:jc w:val="right"/>
    </w:pPr>
  </w:style>
  <w:style w:type="paragraph" w:styleId="Index3">
    <w:name w:val="index 3"/>
    <w:basedOn w:val="ListNumber2"/>
    <w:next w:val="Normal"/>
    <w:semiHidden/>
    <w:rsid w:val="001B663D"/>
    <w:pPr>
      <w:numPr>
        <w:numId w:val="0"/>
      </w:numPr>
      <w:tabs>
        <w:tab w:val="right" w:leader="dot" w:pos="4176"/>
      </w:tabs>
    </w:pPr>
  </w:style>
  <w:style w:type="paragraph" w:styleId="ListNumber2">
    <w:name w:val="List Number 2"/>
    <w:basedOn w:val="List2"/>
    <w:rsid w:val="001B663D"/>
    <w:pPr>
      <w:numPr>
        <w:numId w:val="10"/>
      </w:numPr>
      <w:tabs>
        <w:tab w:val="clear" w:pos="1060"/>
      </w:tabs>
    </w:pPr>
  </w:style>
  <w:style w:type="paragraph" w:customStyle="1" w:styleId="MarginNote">
    <w:name w:val="Margin Note"/>
    <w:basedOn w:val="BodyText"/>
    <w:rsid w:val="001B66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66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66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663D"/>
    <w:rPr>
      <w:sz w:val="32"/>
    </w:rPr>
  </w:style>
  <w:style w:type="paragraph" w:customStyle="1" w:styleId="HeadingProcedure">
    <w:name w:val="Heading Procedure"/>
    <w:basedOn w:val="HeadingBase"/>
    <w:next w:val="Normal"/>
    <w:rsid w:val="001B663D"/>
    <w:pPr>
      <w:tabs>
        <w:tab w:val="left" w:pos="0"/>
      </w:tabs>
      <w:spacing w:before="120" w:after="60"/>
    </w:pPr>
    <w:rPr>
      <w:i/>
      <w:color w:val="918585"/>
      <w:sz w:val="22"/>
    </w:rPr>
  </w:style>
  <w:style w:type="paragraph" w:customStyle="1" w:styleId="TableBodyText">
    <w:name w:val="Table Body Text"/>
    <w:basedOn w:val="BodyText"/>
    <w:rsid w:val="001B663D"/>
    <w:pPr>
      <w:spacing w:before="60" w:after="60"/>
    </w:pPr>
  </w:style>
  <w:style w:type="paragraph" w:styleId="ListContinue">
    <w:name w:val="List Continue"/>
    <w:basedOn w:val="List"/>
    <w:rsid w:val="001B663D"/>
    <w:pPr>
      <w:ind w:firstLine="0"/>
    </w:pPr>
  </w:style>
  <w:style w:type="paragraph" w:customStyle="1" w:styleId="ListNote">
    <w:name w:val="List Note"/>
    <w:basedOn w:val="List"/>
    <w:rsid w:val="001B663D"/>
    <w:pPr>
      <w:pBdr>
        <w:top w:val="single" w:sz="6" w:space="2" w:color="918585"/>
        <w:bottom w:val="single" w:sz="6" w:space="2" w:color="918585"/>
      </w:pBdr>
      <w:tabs>
        <w:tab w:val="left" w:pos="1021"/>
      </w:tabs>
      <w:ind w:firstLine="0"/>
    </w:pPr>
  </w:style>
  <w:style w:type="paragraph" w:customStyle="1" w:styleId="Warning">
    <w:name w:val="Warning"/>
    <w:basedOn w:val="BodyText"/>
    <w:rsid w:val="001B663D"/>
    <w:pPr>
      <w:shd w:val="clear" w:color="auto" w:fill="D9D9D9"/>
      <w:tabs>
        <w:tab w:val="left" w:pos="992"/>
      </w:tabs>
      <w:ind w:left="119" w:right="119"/>
    </w:pPr>
    <w:rPr>
      <w:sz w:val="20"/>
    </w:rPr>
  </w:style>
  <w:style w:type="paragraph" w:customStyle="1" w:styleId="MarginIcons">
    <w:name w:val="Margin Icons"/>
    <w:basedOn w:val="BodyText"/>
    <w:rsid w:val="001B66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663D"/>
    <w:rPr>
      <w:rFonts w:ascii="Courier New" w:hAnsi="Courier New"/>
    </w:rPr>
  </w:style>
  <w:style w:type="paragraph" w:customStyle="1" w:styleId="NoteBullet">
    <w:name w:val="Note Bullet"/>
    <w:basedOn w:val="Note"/>
    <w:rsid w:val="001B663D"/>
    <w:pPr>
      <w:tabs>
        <w:tab w:val="clear" w:pos="680"/>
      </w:tabs>
      <w:spacing w:before="60" w:after="60"/>
    </w:pPr>
  </w:style>
  <w:style w:type="paragraph" w:customStyle="1" w:styleId="SubHeading2">
    <w:name w:val="SubHeading2"/>
    <w:basedOn w:val="HeadingBase"/>
    <w:rsid w:val="001B663D"/>
    <w:pPr>
      <w:spacing w:before="240" w:after="60"/>
    </w:pPr>
    <w:rPr>
      <w:sz w:val="20"/>
    </w:rPr>
  </w:style>
  <w:style w:type="paragraph" w:customStyle="1" w:styleId="SubHeading1">
    <w:name w:val="SubHeading1"/>
    <w:basedOn w:val="HeadingBase"/>
    <w:rsid w:val="001B663D"/>
    <w:pPr>
      <w:spacing w:before="240" w:after="60"/>
    </w:pPr>
    <w:rPr>
      <w:color w:val="918585"/>
      <w:sz w:val="22"/>
    </w:rPr>
  </w:style>
  <w:style w:type="paragraph" w:customStyle="1" w:styleId="SideHeading">
    <w:name w:val="Side Heading"/>
    <w:basedOn w:val="HeadingBase"/>
    <w:rsid w:val="001B66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663D"/>
    <w:pPr>
      <w:tabs>
        <w:tab w:val="num" w:pos="360"/>
      </w:tabs>
    </w:pPr>
  </w:style>
  <w:style w:type="paragraph" w:styleId="PlainText">
    <w:name w:val="Plain Text"/>
    <w:basedOn w:val="Normal"/>
    <w:link w:val="PlainTextChar"/>
    <w:rsid w:val="001B663D"/>
    <w:rPr>
      <w:sz w:val="20"/>
    </w:rPr>
  </w:style>
  <w:style w:type="character" w:customStyle="1" w:styleId="PlainTextChar">
    <w:name w:val="Plain Text Char"/>
    <w:basedOn w:val="DefaultParagraphFont"/>
    <w:link w:val="PlainText"/>
    <w:rsid w:val="001B663D"/>
    <w:rPr>
      <w:rFonts w:ascii="Courier New" w:eastAsia="Times New Roman" w:hAnsi="Courier New" w:cs="Times New Roman"/>
      <w:sz w:val="20"/>
      <w:szCs w:val="20"/>
      <w:lang w:eastAsia="en-US"/>
    </w:rPr>
  </w:style>
  <w:style w:type="character" w:customStyle="1" w:styleId="MenuOption">
    <w:name w:val="Menu Option"/>
    <w:basedOn w:val="DefaultParagraphFont"/>
    <w:rsid w:val="001B663D"/>
    <w:rPr>
      <w:b/>
      <w:smallCaps/>
    </w:rPr>
  </w:style>
  <w:style w:type="paragraph" w:customStyle="1" w:styleId="TableListNumber">
    <w:name w:val="Table List Number"/>
    <w:basedOn w:val="ListNumber"/>
    <w:rsid w:val="001B663D"/>
    <w:pPr>
      <w:numPr>
        <w:numId w:val="0"/>
      </w:numPr>
    </w:pPr>
  </w:style>
  <w:style w:type="paragraph" w:styleId="TOC4">
    <w:name w:val="toc 4"/>
    <w:basedOn w:val="TOCBase"/>
    <w:next w:val="Normal"/>
    <w:semiHidden/>
    <w:rsid w:val="001B663D"/>
    <w:pPr>
      <w:tabs>
        <w:tab w:val="right" w:leader="dot" w:pos="9071"/>
      </w:tabs>
      <w:ind w:left="1701"/>
    </w:pPr>
  </w:style>
  <w:style w:type="paragraph" w:customStyle="1" w:styleId="ListAlpha">
    <w:name w:val="List Alpha"/>
    <w:basedOn w:val="List"/>
    <w:rsid w:val="001B663D"/>
    <w:pPr>
      <w:numPr>
        <w:numId w:val="9"/>
      </w:numPr>
    </w:pPr>
  </w:style>
  <w:style w:type="paragraph" w:customStyle="1" w:styleId="ListAlpha2">
    <w:name w:val="List Alpha 2"/>
    <w:basedOn w:val="List2"/>
    <w:rsid w:val="001B663D"/>
    <w:pPr>
      <w:numPr>
        <w:numId w:val="8"/>
      </w:numPr>
    </w:pPr>
  </w:style>
  <w:style w:type="paragraph" w:styleId="List2">
    <w:name w:val="List 2"/>
    <w:basedOn w:val="BodyText"/>
    <w:rsid w:val="001B663D"/>
    <w:pPr>
      <w:tabs>
        <w:tab w:val="left" w:pos="680"/>
      </w:tabs>
      <w:spacing w:before="60" w:after="60"/>
      <w:ind w:left="680" w:hanging="340"/>
    </w:pPr>
  </w:style>
  <w:style w:type="paragraph" w:styleId="List3">
    <w:name w:val="List 3"/>
    <w:basedOn w:val="BodyText"/>
    <w:rsid w:val="001B663D"/>
    <w:pPr>
      <w:tabs>
        <w:tab w:val="left" w:pos="1021"/>
      </w:tabs>
      <w:spacing w:before="60" w:after="60"/>
      <w:ind w:left="1020" w:hanging="340"/>
    </w:pPr>
  </w:style>
  <w:style w:type="paragraph" w:styleId="List4">
    <w:name w:val="List 4"/>
    <w:basedOn w:val="BodyText"/>
    <w:rsid w:val="001B663D"/>
    <w:pPr>
      <w:tabs>
        <w:tab w:val="left" w:pos="1361"/>
      </w:tabs>
      <w:spacing w:before="60" w:after="60"/>
      <w:ind w:left="1361" w:hanging="340"/>
    </w:pPr>
  </w:style>
  <w:style w:type="paragraph" w:styleId="List5">
    <w:name w:val="List 5"/>
    <w:basedOn w:val="BodyText"/>
    <w:rsid w:val="001B663D"/>
    <w:pPr>
      <w:tabs>
        <w:tab w:val="left" w:pos="1701"/>
      </w:tabs>
      <w:spacing w:before="60" w:after="60"/>
      <w:ind w:left="1701" w:hanging="340"/>
    </w:pPr>
  </w:style>
  <w:style w:type="paragraph" w:styleId="ListBullet3">
    <w:name w:val="List Bullet 3"/>
    <w:basedOn w:val="List3"/>
    <w:rsid w:val="001B663D"/>
    <w:pPr>
      <w:numPr>
        <w:numId w:val="14"/>
      </w:numPr>
      <w:tabs>
        <w:tab w:val="clear" w:pos="1021"/>
      </w:tabs>
      <w:ind w:left="1037" w:hanging="357"/>
    </w:pPr>
  </w:style>
  <w:style w:type="paragraph" w:styleId="ListBullet4">
    <w:name w:val="List Bullet 4"/>
    <w:basedOn w:val="List4"/>
    <w:rsid w:val="001B663D"/>
    <w:pPr>
      <w:numPr>
        <w:numId w:val="3"/>
      </w:numPr>
      <w:tabs>
        <w:tab w:val="clear" w:pos="1361"/>
      </w:tabs>
    </w:pPr>
  </w:style>
  <w:style w:type="paragraph" w:styleId="ListBullet5">
    <w:name w:val="List Bullet 5"/>
    <w:basedOn w:val="List5"/>
    <w:rsid w:val="001B663D"/>
    <w:pPr>
      <w:numPr>
        <w:numId w:val="4"/>
      </w:numPr>
    </w:pPr>
  </w:style>
  <w:style w:type="paragraph" w:styleId="ListContinue2">
    <w:name w:val="List Continue 2"/>
    <w:basedOn w:val="List2"/>
    <w:rsid w:val="001B663D"/>
    <w:pPr>
      <w:ind w:firstLine="0"/>
    </w:pPr>
  </w:style>
  <w:style w:type="paragraph" w:styleId="ListContinue3">
    <w:name w:val="List Continue 3"/>
    <w:basedOn w:val="List3"/>
    <w:rsid w:val="001B663D"/>
    <w:pPr>
      <w:ind w:left="1021" w:firstLine="0"/>
    </w:pPr>
  </w:style>
  <w:style w:type="paragraph" w:styleId="ListContinue4">
    <w:name w:val="List Continue 4"/>
    <w:basedOn w:val="List4"/>
    <w:rsid w:val="001B663D"/>
    <w:pPr>
      <w:ind w:firstLine="0"/>
    </w:pPr>
  </w:style>
  <w:style w:type="paragraph" w:styleId="ListContinue5">
    <w:name w:val="List Continue 5"/>
    <w:basedOn w:val="List5"/>
    <w:rsid w:val="001B663D"/>
    <w:pPr>
      <w:ind w:firstLine="0"/>
    </w:pPr>
  </w:style>
  <w:style w:type="paragraph" w:styleId="ListNumber3">
    <w:name w:val="List Number 3"/>
    <w:basedOn w:val="List3"/>
    <w:rsid w:val="001B663D"/>
    <w:pPr>
      <w:numPr>
        <w:numId w:val="5"/>
      </w:numPr>
    </w:pPr>
  </w:style>
  <w:style w:type="paragraph" w:styleId="ListNumber4">
    <w:name w:val="List Number 4"/>
    <w:basedOn w:val="List4"/>
    <w:rsid w:val="001B663D"/>
    <w:pPr>
      <w:numPr>
        <w:numId w:val="6"/>
      </w:numPr>
    </w:pPr>
  </w:style>
  <w:style w:type="paragraph" w:styleId="ListNumber5">
    <w:name w:val="List Number 5"/>
    <w:basedOn w:val="List5"/>
    <w:rsid w:val="001B663D"/>
    <w:pPr>
      <w:numPr>
        <w:numId w:val="7"/>
      </w:numPr>
    </w:pPr>
  </w:style>
  <w:style w:type="paragraph" w:styleId="BlockText">
    <w:name w:val="Block Text"/>
    <w:basedOn w:val="Normal"/>
    <w:rsid w:val="001B663D"/>
    <w:pPr>
      <w:spacing w:after="120"/>
      <w:ind w:left="1440" w:right="1440"/>
    </w:pPr>
  </w:style>
  <w:style w:type="character" w:customStyle="1" w:styleId="Subscript">
    <w:name w:val="Subscript"/>
    <w:basedOn w:val="DefaultParagraphFont"/>
    <w:rsid w:val="001B663D"/>
    <w:rPr>
      <w:sz w:val="16"/>
      <w:vertAlign w:val="subscript"/>
    </w:rPr>
  </w:style>
  <w:style w:type="character" w:customStyle="1" w:styleId="Superscript">
    <w:name w:val="Superscript"/>
    <w:basedOn w:val="DefaultParagraphFont"/>
    <w:rsid w:val="001B663D"/>
    <w:rPr>
      <w:sz w:val="16"/>
      <w:vertAlign w:val="superscript"/>
    </w:rPr>
  </w:style>
  <w:style w:type="character" w:customStyle="1" w:styleId="Symbols">
    <w:name w:val="Symbols"/>
    <w:basedOn w:val="DefaultParagraphFont"/>
    <w:rsid w:val="001B663D"/>
    <w:rPr>
      <w:rFonts w:ascii="Symbol" w:hAnsi="Symbol"/>
    </w:rPr>
  </w:style>
  <w:style w:type="character" w:customStyle="1" w:styleId="MenuOptions">
    <w:name w:val="Menu Options"/>
    <w:basedOn w:val="DefaultParagraphFont"/>
    <w:rsid w:val="001B663D"/>
    <w:rPr>
      <w:rFonts w:ascii="Arial Narrow" w:hAnsi="Arial Narrow"/>
      <w:smallCaps/>
    </w:rPr>
  </w:style>
  <w:style w:type="character" w:customStyle="1" w:styleId="Buttons">
    <w:name w:val="Buttons"/>
    <w:basedOn w:val="DefaultParagraphFont"/>
    <w:rsid w:val="001B663D"/>
    <w:rPr>
      <w:b/>
    </w:rPr>
  </w:style>
  <w:style w:type="character" w:customStyle="1" w:styleId="Underlined">
    <w:name w:val="Underlined"/>
    <w:basedOn w:val="DefaultParagraphFont"/>
    <w:rsid w:val="001B663D"/>
    <w:rPr>
      <w:u w:val="single"/>
    </w:rPr>
  </w:style>
  <w:style w:type="paragraph" w:customStyle="1" w:styleId="TableBodyTextRight">
    <w:name w:val="Table Body Text Right"/>
    <w:basedOn w:val="TableBodyText"/>
    <w:rsid w:val="001B663D"/>
    <w:pPr>
      <w:widowControl w:val="0"/>
      <w:autoSpaceDE w:val="0"/>
      <w:autoSpaceDN w:val="0"/>
      <w:adjustRightInd w:val="0"/>
      <w:jc w:val="right"/>
    </w:pPr>
    <w:rPr>
      <w:rFonts w:cs="Arial"/>
      <w:szCs w:val="18"/>
    </w:rPr>
  </w:style>
  <w:style w:type="paragraph" w:customStyle="1" w:styleId="CopyrightText">
    <w:name w:val="Copyright Text"/>
    <w:basedOn w:val="BodyText"/>
    <w:rsid w:val="001B663D"/>
    <w:rPr>
      <w:sz w:val="18"/>
    </w:rPr>
  </w:style>
  <w:style w:type="paragraph" w:customStyle="1" w:styleId="BodySmallRight">
    <w:name w:val="Body Small Right"/>
    <w:basedOn w:val="BodyTextRight"/>
    <w:rsid w:val="001B663D"/>
    <w:rPr>
      <w:sz w:val="18"/>
      <w:szCs w:val="18"/>
    </w:rPr>
  </w:style>
  <w:style w:type="paragraph" w:customStyle="1" w:styleId="MarginEdition">
    <w:name w:val="Margin Edition"/>
    <w:basedOn w:val="MarginNote"/>
    <w:rsid w:val="001B663D"/>
    <w:pPr>
      <w:spacing w:before="0" w:after="0"/>
    </w:pPr>
    <w:rPr>
      <w:rFonts w:ascii="Times New Roman" w:hAnsi="Times New Roman"/>
      <w:color w:val="999999"/>
    </w:rPr>
  </w:style>
  <w:style w:type="paragraph" w:customStyle="1" w:styleId="Spacer">
    <w:name w:val="Spacer"/>
    <w:basedOn w:val="Normal"/>
    <w:rsid w:val="001B663D"/>
    <w:rPr>
      <w:sz w:val="2"/>
      <w:szCs w:val="2"/>
    </w:rPr>
  </w:style>
  <w:style w:type="character" w:customStyle="1" w:styleId="Small">
    <w:name w:val="Small"/>
    <w:basedOn w:val="DefaultParagraphFont"/>
    <w:rsid w:val="001B663D"/>
    <w:rPr>
      <w:sz w:val="16"/>
    </w:rPr>
  </w:style>
  <w:style w:type="paragraph" w:customStyle="1" w:styleId="WideTable">
    <w:name w:val="Wide Table"/>
    <w:basedOn w:val="Normal"/>
    <w:rsid w:val="001B663D"/>
    <w:pPr>
      <w:ind w:left="-1418"/>
    </w:pPr>
    <w:rPr>
      <w:sz w:val="2"/>
      <w:szCs w:val="2"/>
    </w:rPr>
  </w:style>
  <w:style w:type="character" w:styleId="PageNumber">
    <w:name w:val="page number"/>
    <w:basedOn w:val="DefaultParagraphFont"/>
    <w:rsid w:val="001B663D"/>
  </w:style>
  <w:style w:type="paragraph" w:styleId="Quote">
    <w:name w:val="Quote"/>
    <w:basedOn w:val="Heading1"/>
    <w:link w:val="QuoteChar"/>
    <w:qFormat/>
    <w:rsid w:val="001B663D"/>
    <w:rPr>
      <w:b w:val="0"/>
      <w:sz w:val="72"/>
      <w:szCs w:val="72"/>
      <w:lang w:val="en-NZ"/>
    </w:rPr>
  </w:style>
  <w:style w:type="character" w:customStyle="1" w:styleId="QuoteChar">
    <w:name w:val="Quote Char"/>
    <w:basedOn w:val="DefaultParagraphFont"/>
    <w:link w:val="Quote"/>
    <w:rsid w:val="001B66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663D"/>
    <w:pPr>
      <w:pageBreakBefore/>
    </w:pPr>
  </w:style>
  <w:style w:type="paragraph" w:customStyle="1" w:styleId="Border">
    <w:name w:val="Border"/>
    <w:basedOn w:val="Normal"/>
    <w:qFormat/>
    <w:rsid w:val="001B66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663D"/>
    <w:rPr>
      <w:b/>
      <w:bCs/>
      <w:i/>
      <w:iCs/>
      <w:color w:val="auto"/>
    </w:rPr>
  </w:style>
  <w:style w:type="paragraph" w:styleId="IntenseQuote">
    <w:name w:val="Intense Quote"/>
    <w:basedOn w:val="Normal"/>
    <w:next w:val="Normal"/>
    <w:link w:val="IntenseQuoteChar"/>
    <w:uiPriority w:val="30"/>
    <w:qFormat/>
    <w:rsid w:val="001B66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66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663D"/>
    <w:rPr>
      <w:smallCaps/>
      <w:color w:val="auto"/>
      <w:u w:val="single"/>
    </w:rPr>
  </w:style>
  <w:style w:type="character" w:styleId="IntenseReference">
    <w:name w:val="Intense Reference"/>
    <w:basedOn w:val="DefaultParagraphFont"/>
    <w:uiPriority w:val="32"/>
    <w:qFormat/>
    <w:rsid w:val="001B663D"/>
    <w:rPr>
      <w:b/>
      <w:bCs/>
      <w:smallCaps/>
      <w:color w:val="auto"/>
      <w:spacing w:val="5"/>
      <w:u w:val="single"/>
    </w:rPr>
  </w:style>
  <w:style w:type="paragraph" w:customStyle="1" w:styleId="2ColumnHeading">
    <w:name w:val="2Column Heading"/>
    <w:basedOn w:val="BodyText"/>
    <w:qFormat/>
    <w:rsid w:val="001B663D"/>
    <w:pPr>
      <w:spacing w:after="60"/>
      <w:ind w:left="-2268"/>
    </w:pPr>
    <w:rPr>
      <w:b/>
    </w:rPr>
  </w:style>
  <w:style w:type="paragraph" w:customStyle="1" w:styleId="Heading1TOC">
    <w:name w:val="Heading1 TOC"/>
    <w:basedOn w:val="Normal"/>
    <w:qFormat/>
    <w:rsid w:val="001B663D"/>
    <w:pPr>
      <w:spacing w:before="240" w:after="120"/>
    </w:pPr>
    <w:rPr>
      <w:rFonts w:ascii="Times New Roman" w:hAnsi="Times New Roman"/>
      <w:b/>
      <w:sz w:val="32"/>
    </w:rPr>
  </w:style>
  <w:style w:type="paragraph" w:customStyle="1" w:styleId="Heading2TOC">
    <w:name w:val="Heading2 TOC"/>
    <w:basedOn w:val="Normal"/>
    <w:qFormat/>
    <w:rsid w:val="001B663D"/>
    <w:pPr>
      <w:spacing w:before="240" w:after="60"/>
    </w:pPr>
    <w:rPr>
      <w:rFonts w:ascii="Times New Roman" w:hAnsi="Times New Roman"/>
      <w:b/>
      <w:sz w:val="28"/>
    </w:rPr>
  </w:style>
  <w:style w:type="character" w:customStyle="1" w:styleId="Underline">
    <w:name w:val="Underline"/>
    <w:basedOn w:val="DefaultParagraphFont"/>
    <w:qFormat/>
    <w:rsid w:val="001B663D"/>
    <w:rPr>
      <w:u w:val="single"/>
    </w:rPr>
  </w:style>
  <w:style w:type="character" w:customStyle="1" w:styleId="BoldandItalics">
    <w:name w:val="Bold and Italics"/>
    <w:qFormat/>
    <w:rsid w:val="001B663D"/>
    <w:rPr>
      <w:b/>
      <w:i/>
      <w:u w:val="none"/>
    </w:rPr>
  </w:style>
  <w:style w:type="paragraph" w:styleId="BalloonText">
    <w:name w:val="Balloon Text"/>
    <w:basedOn w:val="Normal"/>
    <w:link w:val="BalloonTextChar"/>
    <w:rsid w:val="001B663D"/>
    <w:rPr>
      <w:rFonts w:ascii="Tahoma" w:hAnsi="Tahoma" w:cs="Tahoma"/>
      <w:sz w:val="16"/>
      <w:szCs w:val="16"/>
    </w:rPr>
  </w:style>
  <w:style w:type="character" w:customStyle="1" w:styleId="BalloonTextChar">
    <w:name w:val="Balloon Text Char"/>
    <w:basedOn w:val="DefaultParagraphFont"/>
    <w:link w:val="BalloonText"/>
    <w:rsid w:val="001B66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66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66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663D"/>
    <w:rPr>
      <w:b/>
      <w:color w:val="660033"/>
      <w:spacing w:val="0"/>
    </w:rPr>
  </w:style>
  <w:style w:type="paragraph" w:customStyle="1" w:styleId="Nameditemlist">
    <w:name w:val="Named item list"/>
    <w:basedOn w:val="BodyText"/>
    <w:qFormat/>
    <w:rsid w:val="001B663D"/>
    <w:pPr>
      <w:tabs>
        <w:tab w:val="left" w:pos="2835"/>
      </w:tabs>
      <w:ind w:left="2835" w:hanging="2835"/>
    </w:pPr>
  </w:style>
  <w:style w:type="paragraph" w:customStyle="1" w:styleId="BodyTextnopadding">
    <w:name w:val="Body Text no padding"/>
    <w:basedOn w:val="BodyText"/>
    <w:qFormat/>
    <w:rsid w:val="001B663D"/>
    <w:pPr>
      <w:spacing w:before="0" w:after="0"/>
    </w:pPr>
  </w:style>
  <w:style w:type="paragraph" w:customStyle="1" w:styleId="BodyTextBold">
    <w:name w:val="Body Text Bold"/>
    <w:basedOn w:val="BodyText"/>
    <w:qFormat/>
    <w:rsid w:val="001B663D"/>
    <w:rPr>
      <w:b/>
    </w:rPr>
  </w:style>
  <w:style w:type="character" w:styleId="Hyperlink">
    <w:name w:val="Hyperlink"/>
    <w:basedOn w:val="DefaultParagraphFont"/>
    <w:uiPriority w:val="99"/>
    <w:unhideWhenUsed/>
    <w:rsid w:val="002C34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582</Words>
  <Characters>3928</Characters>
  <Application>Microsoft Office Word</Application>
  <DocSecurity>0</DocSecurity>
  <Lines>87</Lines>
  <Paragraphs>55</Paragraphs>
  <ScaleCrop>false</ScaleCrop>
  <Company>Author-it Software Corporation Ltd.</Company>
  <LinksUpToDate>false</LinksUpToDate>
  <CharactersWithSpaces>4455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TLIB3002 Test equipment and isolate faults</dc:title>
  <dc:subject>Approved</dc:subject>
  <dc:creator>Industry Skills Australia</dc:creator>
  <cp:keywords>Release: 2</cp:keywords>
  <dc:description>Review Date: 12 April 2008</dc:description>
  <cp:lastModifiedBy>HSD_TPCMSd.prod</cp:lastModifiedBy>
  <cp:revision>3</cp:revision>
  <dcterms:created xsi:type="dcterms:W3CDTF">2024-07-12T07:45:00Z</dcterms:created>
  <dcterms:modified xsi:type="dcterms:W3CDTF">2024-07-12T07:45:00Z</dcterms:modified>
</cp:coreProperties>
</file>