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EF3" w:rsidP="00B75EF3">
      <w:pPr>
        <w:pStyle w:val="Title"/>
      </w:pPr>
      <w:r>
        <w:fldChar w:fldCharType="begin"/>
      </w:r>
      <w:r>
        <w:instrText xml:space="preserve"> TITLE   \* MERGEFORMAT </w:instrText>
      </w:r>
      <w:r>
        <w:fldChar w:fldCharType="separate"/>
      </w:r>
      <w:r>
        <w:t>TLIB2122 Apply awareness of fundamentals of rail operations in yards or sidings</w:t>
      </w:r>
      <w:r>
        <w:fldChar w:fldCharType="end"/>
      </w:r>
    </w:p>
    <w:p w:rsidR="00B75EF3" w:rsidP="00B75EF3">
      <w:pPr>
        <w:pStyle w:val="Version"/>
        <w:sectPr w:rsidSect="00B11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B27" w:rsidP="00B11B27">
      <w:pPr>
        <w:pStyle w:val="SuperHeading"/>
      </w:pPr>
      <w:r w:rsidRPr="00B11B27">
        <w:t>TLIB2122 Apply awareness of fundamentals of rail operations in yards or sidings</w:t>
      </w:r>
    </w:p>
    <w:p w:rsidR="00000000" w:rsidRPr="00B11B27" w:rsidP="00B11B27">
      <w:pPr>
        <w:pStyle w:val="Heading1"/>
      </w:pPr>
      <w:bookmarkStart w:id="1" w:name="O_749512"/>
      <w:bookmarkEnd w:id="1"/>
      <w:r w:rsidRPr="00B11B27">
        <w:t>Modification History</w:t>
      </w:r>
    </w:p>
    <w:p w:rsidR="00B75EF3" w:rsidP="00B75EF3">
      <w:pPr>
        <w:pStyle w:val="BodyText"/>
      </w:pPr>
      <w:r w:rsidRPr="00B11B27">
        <w:t>Release 1. This is the first release of this unit of competency in the TLI Transport and Logistics Training Package.</w:t>
      </w:r>
    </w:p>
    <w:p w:rsidR="00000000" w:rsidRPr="00B11B27" w:rsidP="00B11B27">
      <w:pPr>
        <w:pStyle w:val="Heading1"/>
      </w:pPr>
      <w:bookmarkStart w:id="2" w:name="O_749513"/>
      <w:bookmarkEnd w:id="2"/>
      <w:r w:rsidRPr="00B11B27">
        <w:t>Application</w:t>
      </w:r>
    </w:p>
    <w:tbl>
      <w:tblPr>
        <w:tblW w:w="0" w:type="auto"/>
        <w:tblCellMar>
          <w:left w:w="62" w:type="dxa"/>
          <w:right w:w="62" w:type="dxa"/>
        </w:tblCellMar>
        <w:tblLook w:val="0000"/>
      </w:tblPr>
      <w:tblGrid>
        <w:gridCol w:w="9196"/>
      </w:tblGrid>
      <w:tr w:rsidTr="00B75E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t>This unit involves the skills and knowledge required to apply an awareness of the fundamentals of rail operations in yards or sidings.</w:t>
            </w:r>
          </w:p>
          <w:p w:rsidR="00000000" w:rsidRPr="00B11B27" w:rsidP="00B11B27">
            <w:pPr>
              <w:pStyle w:val="BodyText"/>
            </w:pPr>
            <w:r w:rsidRPr="00B11B27">
              <w:t>It includes fixed structures, rail vehicles and rolling stock, signals, safety devices, primary activities an</w:t>
            </w:r>
            <w:r w:rsidRPr="00B11B27">
              <w:t>d safety systems.</w:t>
            </w:r>
          </w:p>
          <w:p w:rsidR="00000000" w:rsidRPr="00B11B27" w:rsidP="00B11B27">
            <w:pPr>
              <w:pStyle w:val="BodyText"/>
            </w:pPr>
            <w:r w:rsidRPr="00B11B27">
              <w:t>This unit is intended as an introduction to rail yards or sidings for people entering the rail industry who will be working on or around rail yards or sidings.</w:t>
            </w:r>
          </w:p>
          <w:p w:rsidR="00000000" w:rsidRPr="00B11B27" w:rsidP="00B11B27">
            <w:pPr>
              <w:pStyle w:val="BodyText"/>
            </w:pPr>
            <w:r w:rsidRPr="00B11B27">
              <w:t xml:space="preserve">No licensing, legislative or certification requirements apply to this unit at </w:t>
            </w:r>
            <w:r w:rsidRPr="00B11B27">
              <w:t>the time of publication.</w:t>
            </w:r>
          </w:p>
        </w:tc>
      </w:tr>
    </w:tbl>
    <w:p w:rsidR="00B75EF3" w:rsidP="00B11B27">
      <w:pPr>
        <w:pStyle w:val="BodyText"/>
      </w:pPr>
    </w:p>
    <w:p w:rsidR="00B75EF3" w:rsidP="00B11B27">
      <w:pPr>
        <w:pStyle w:val="BodyText"/>
      </w:pPr>
    </w:p>
    <w:p w:rsidR="00000000" w:rsidRPr="00B11B27" w:rsidP="00B11B27">
      <w:pPr>
        <w:pStyle w:val="Heading1"/>
      </w:pPr>
      <w:bookmarkStart w:id="3" w:name="O_749514"/>
      <w:bookmarkEnd w:id="3"/>
      <w:r w:rsidRPr="00B11B27">
        <w:t>Pre-requisite Unit</w:t>
      </w:r>
    </w:p>
    <w:p w:rsidR="00000000" w:rsidRPr="00B11B27" w:rsidP="00B75EF3">
      <w:pPr>
        <w:pStyle w:val="BodyText"/>
      </w:pPr>
      <w:r w:rsidRPr="00B11B27">
        <w:t>Not applicable.</w:t>
      </w:r>
    </w:p>
    <w:p w:rsidR="00000000" w:rsidRPr="00B11B27" w:rsidP="00B11B27">
      <w:pPr>
        <w:pStyle w:val="Heading1"/>
      </w:pPr>
      <w:bookmarkStart w:id="4" w:name="O_749515"/>
      <w:bookmarkEnd w:id="4"/>
      <w:r w:rsidRPr="00B11B27">
        <w:t>Competency Field</w:t>
      </w:r>
    </w:p>
    <w:p w:rsidR="00B75EF3" w:rsidP="00B75EF3">
      <w:pPr>
        <w:pStyle w:val="BodyText"/>
      </w:pPr>
      <w:r w:rsidRPr="00B11B27">
        <w:t>B – Equipment Checking and Maintenance</w:t>
      </w:r>
    </w:p>
    <w:p w:rsidR="00000000" w:rsidRPr="00B11B27" w:rsidP="00B11B27">
      <w:pPr>
        <w:pStyle w:val="Heading1"/>
      </w:pPr>
      <w:bookmarkStart w:id="5" w:name="O_749516"/>
      <w:bookmarkEnd w:id="5"/>
      <w:r w:rsidRPr="00B11B27">
        <w:t>Unit Sector</w:t>
      </w:r>
    </w:p>
    <w:p w:rsidR="00000000" w:rsidRPr="00B11B27" w:rsidP="00B75EF3">
      <w:pPr>
        <w:pStyle w:val="BodyText"/>
      </w:pPr>
      <w:r w:rsidRPr="00B11B27">
        <w:t>Not applicable.</w:t>
      </w:r>
    </w:p>
    <w:p w:rsidR="00000000" w:rsidRPr="00B11B27" w:rsidP="00B11B27">
      <w:pPr>
        <w:pStyle w:val="Heading1"/>
      </w:pPr>
      <w:bookmarkStart w:id="6" w:name="O_749517"/>
      <w:bookmarkEnd w:id="6"/>
      <w:r w:rsidRPr="00B11B27">
        <w:t>Elements and Performance Criteria</w:t>
      </w:r>
    </w:p>
    <w:tbl>
      <w:tblPr>
        <w:tblW w:w="0" w:type="auto"/>
        <w:tblCellMar>
          <w:left w:w="62" w:type="dxa"/>
          <w:right w:w="62" w:type="dxa"/>
        </w:tblCellMar>
        <w:tblLook w:val="0000"/>
      </w:tblPr>
      <w:tblGrid>
        <w:gridCol w:w="332"/>
        <w:gridCol w:w="1769"/>
        <w:gridCol w:w="552"/>
        <w:gridCol w:w="6543"/>
      </w:tblGrid>
      <w:tr w:rsidTr="00B75E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PERFORMANCE CRITERIA</w:t>
            </w:r>
          </w:p>
        </w:tc>
      </w:tr>
      <w:tr w:rsidTr="00B75E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Performance criteria describe the performance needed to demonstrate achievement of the element.</w:t>
            </w:r>
          </w:p>
        </w:tc>
      </w:tr>
      <w:tr w:rsidTr="00B75E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 xml:space="preserve">Identify yard or </w:t>
            </w:r>
            <w:r w:rsidRPr="00B11B27">
              <w:rPr>
                <w:rStyle w:val="SpecialBold"/>
              </w:rPr>
              <w:t>siding structures, layout and terminology</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1.1</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Terminology for t</w:t>
            </w:r>
            <w:r w:rsidRPr="00B11B27">
              <w:t>rack, trackside equipment and fixed structures is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1.2</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Features of track, including geography and geometry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1.3</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Infrastructure categories and their purpose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1.4</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Other principal structure types and their purpose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1.5</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Relevant stakeholders for reporting structural faults or anomalies to, are identified</w:t>
            </w:r>
          </w:p>
        </w:tc>
      </w:tr>
      <w:tr w:rsidTr="00B75E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Identify above and below ground services</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2.1</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Principal overhead and/or electrical components and their purpose are identified and explained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2.2</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Power supply voltages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2.3</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Methods of isolation are identified and their purpose is explained</w:t>
            </w:r>
          </w:p>
        </w:tc>
      </w:tr>
      <w:tr w:rsidTr="00B75E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Identify rail track vehicles and rolling stock</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3.1</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Types of trains and rolling stock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3.2</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Types of rail track vehicles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3.3</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Relevant stakeholders for reporting rolling stock faults or anomalies to, are identified</w:t>
            </w:r>
          </w:p>
        </w:tc>
      </w:tr>
      <w:tr w:rsidTr="00B75E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Identify signals and safety devices</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4.1</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Types, location and purpose of signals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4.2</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Types, location and purpose of safety devices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4.3</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Relevant stake</w:t>
            </w:r>
            <w:r w:rsidRPr="00B11B27">
              <w:t>holders for reporting signal or safety device faults or anomalies to, are identified</w:t>
            </w:r>
          </w:p>
        </w:tc>
      </w:tr>
      <w:tr w:rsidTr="00B75E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rPr>
                <w:rStyle w:val="SpecialBold"/>
              </w:rPr>
              <w:t>Identify primary rail activities and safety systems</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5.1</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Primary rail activities and other operators are identified as required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5.2</w:t>
            </w: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Types and purpose of safety systems are identified</w:t>
            </w:r>
          </w:p>
        </w:tc>
      </w:tr>
      <w:tr w:rsidTr="00B75E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5.3</w:t>
            </w:r>
          </w:p>
        </w:tc>
        <w:tc>
          <w:tcPr>
            <w:tcW w:w="0" w:type="auto"/>
            <w:tcBorders>
              <w:top w:val="nil"/>
              <w:left w:val="nil"/>
              <w:bottom w:val="nil"/>
              <w:right w:val="nil"/>
            </w:tcBorders>
            <w:tcMar>
              <w:top w:w="0" w:type="dxa"/>
              <w:left w:w="62" w:type="dxa"/>
              <w:bottom w:w="0" w:type="dxa"/>
              <w:right w:w="62" w:type="dxa"/>
            </w:tcMar>
          </w:tcPr>
          <w:p w:rsidR="00000000" w:rsidRPr="00B11B27" w:rsidP="00B11B27">
            <w:pPr>
              <w:pStyle w:val="BodyText"/>
            </w:pPr>
            <w:r w:rsidRPr="00B11B27">
              <w:t>Relevant stakeholders for reporting safety events to, are identified</w:t>
            </w:r>
          </w:p>
        </w:tc>
      </w:tr>
    </w:tbl>
    <w:p w:rsidR="00B75EF3" w:rsidP="00B11B27">
      <w:pPr>
        <w:pStyle w:val="BodyText"/>
      </w:pPr>
    </w:p>
    <w:p w:rsidR="00B75EF3" w:rsidP="00B11B27">
      <w:pPr>
        <w:pStyle w:val="BodyText"/>
      </w:pPr>
    </w:p>
    <w:p w:rsidR="00000000" w:rsidRPr="00B11B27" w:rsidP="00B11B27">
      <w:pPr>
        <w:pStyle w:val="Heading1"/>
      </w:pPr>
      <w:bookmarkStart w:id="7" w:name="O_749518"/>
      <w:bookmarkEnd w:id="7"/>
      <w:r w:rsidRPr="00B11B27">
        <w:t>Foundation Skills</w:t>
      </w:r>
    </w:p>
    <w:p w:rsidR="00B75EF3" w:rsidP="00B75EF3">
      <w:pPr>
        <w:pStyle w:val="BodyText"/>
      </w:pPr>
      <w:r w:rsidRPr="00B11B27">
        <w:t>Foundation skills essential to performance are explicit in the performance criteria of this unit of competency.</w:t>
      </w:r>
    </w:p>
    <w:p w:rsidR="00000000" w:rsidRPr="00B11B27" w:rsidP="00B11B27">
      <w:pPr>
        <w:pStyle w:val="Heading1"/>
      </w:pPr>
      <w:bookmarkStart w:id="8" w:name="O_749519"/>
      <w:bookmarkEnd w:id="8"/>
      <w:r w:rsidRPr="00B11B27">
        <w:t>Range of Conditions</w:t>
      </w:r>
    </w:p>
    <w:p w:rsidR="00000000" w:rsidRPr="00B11B27" w:rsidP="00B75EF3">
      <w:pPr>
        <w:pStyle w:val="BodyText"/>
      </w:pPr>
      <w:r w:rsidRPr="00B11B27">
        <w:t>Range is restricted to essential operating conditions and any other variables essential to the work enviro</w:t>
      </w:r>
      <w:r w:rsidRPr="00B11B27">
        <w:t>nment.</w:t>
      </w:r>
    </w:p>
    <w:p w:rsidR="00B75EF3" w:rsidP="00B75EF3">
      <w:pPr>
        <w:pStyle w:val="BodyText"/>
      </w:pPr>
      <w:r w:rsidRPr="00B11B27">
        <w:t>Non-essential conditions can be found in the Companion Volume Implementation Guide.</w:t>
      </w:r>
    </w:p>
    <w:p w:rsidR="00000000" w:rsidRPr="00B11B27" w:rsidP="00B11B27">
      <w:pPr>
        <w:pStyle w:val="Heading1"/>
      </w:pPr>
      <w:bookmarkStart w:id="9" w:name="O_749520"/>
      <w:bookmarkEnd w:id="9"/>
      <w:r w:rsidRPr="00B11B27">
        <w:t>Unit Mapping Information</w:t>
      </w:r>
    </w:p>
    <w:p w:rsidR="00B75EF3" w:rsidP="00B75EF3">
      <w:pPr>
        <w:pStyle w:val="BodyText"/>
      </w:pPr>
      <w:r w:rsidRPr="00B11B27">
        <w:t>This unit replaces and is equivalent to TLIB2122A Apply awareness of fundamentals of rail operations in yards or sidings.</w:t>
      </w:r>
    </w:p>
    <w:p w:rsidR="00000000" w:rsidRPr="00B11B27" w:rsidP="00B11B27">
      <w:pPr>
        <w:pStyle w:val="Heading1"/>
      </w:pPr>
      <w:bookmarkStart w:id="10" w:name="O_749527"/>
      <w:bookmarkEnd w:id="10"/>
      <w:r w:rsidRPr="00B11B27">
        <w:t>Links</w:t>
      </w:r>
    </w:p>
    <w:p w:rsidR="00000000" w:rsidRPr="00B11B27" w:rsidP="00B75EF3">
      <w:pPr>
        <w:pStyle w:val="BodyText"/>
      </w:pPr>
      <w:r w:rsidRPr="00B11B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4BA9">
        <w:rPr>
          <w:rStyle w:val="Hyperlink"/>
        </w:rPr>
        <w:t>https://vetnet.gov.au/Pages/TrainingDocs.aspx?q=df441c6e-213d-43e3-874c-0b3f7036d851</w:t>
      </w:r>
      <w:r>
        <w:fldChar w:fldCharType="end"/>
      </w:r>
    </w:p>
    <w:p w:rsidR="00000000" w:rsidRPr="00B11B27" w:rsidP="00B75EF3">
      <w:pPr>
        <w:pStyle w:val="BodyText"/>
        <w:sectPr w:rsidSect="00B11B27">
          <w:headerReference w:type="default" r:id="rId10"/>
          <w:footerReference w:type="default" r:id="rId11"/>
          <w:pgSz w:w="11908" w:h="16833"/>
          <w:pgMar w:top="1702" w:right="1418" w:bottom="1702" w:left="1418" w:header="992" w:footer="992" w:gutter="0"/>
          <w:cols w:space="720"/>
          <w:noEndnote/>
          <w:docGrid w:linePitch="299"/>
        </w:sectPr>
      </w:pPr>
    </w:p>
    <w:p w:rsidR="00000000" w:rsidRPr="00B11B27" w:rsidP="00B11B27">
      <w:pPr>
        <w:pStyle w:val="SuperHeading"/>
      </w:pPr>
      <w:r w:rsidRPr="00B11B27">
        <w:t>Assessment Requirements f</w:t>
      </w:r>
      <w:r w:rsidRPr="00B11B27">
        <w:t>or TLIB2122 Apply awareness of fundamentals of rail operations in yards or sidings</w:t>
      </w:r>
    </w:p>
    <w:p w:rsidR="00000000" w:rsidRPr="00B11B27" w:rsidP="00B11B27">
      <w:pPr>
        <w:pStyle w:val="Heading1"/>
      </w:pPr>
      <w:bookmarkStart w:id="11" w:name="O_749522"/>
      <w:bookmarkEnd w:id="11"/>
      <w:r w:rsidRPr="00B11B27">
        <w:t>Modification History</w:t>
      </w:r>
    </w:p>
    <w:p w:rsidR="00B75EF3" w:rsidP="00B75EF3">
      <w:pPr>
        <w:pStyle w:val="BodyText"/>
      </w:pPr>
      <w:r w:rsidRPr="00B11B27">
        <w:t>Release 1. This is the first release of this unit of competency in the TLI Transport and Logistics Training Package.</w:t>
      </w:r>
    </w:p>
    <w:p w:rsidR="00000000" w:rsidRPr="00B11B27" w:rsidP="00B11B27">
      <w:pPr>
        <w:pStyle w:val="Heading1"/>
      </w:pPr>
      <w:bookmarkStart w:id="12" w:name="O_749523"/>
      <w:bookmarkEnd w:id="12"/>
      <w:r w:rsidRPr="00B11B27">
        <w:t>P</w:t>
      </w:r>
      <w:r w:rsidRPr="00B11B27">
        <w:t>erformance Evidence</w:t>
      </w:r>
    </w:p>
    <w:tbl>
      <w:tblPr>
        <w:tblW w:w="0" w:type="auto"/>
        <w:tblCellMar>
          <w:left w:w="62" w:type="dxa"/>
          <w:right w:w="62" w:type="dxa"/>
        </w:tblCellMar>
        <w:tblLook w:val="0000"/>
      </w:tblPr>
      <w:tblGrid>
        <w:gridCol w:w="9196"/>
      </w:tblGrid>
      <w:tr w:rsidTr="00B75EF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Evidence required to demonstrate competence in this unit must be relevant to and satisfy all of the requirements of the elements and performance criteria on at least one occasion and include:</w:t>
            </w:r>
          </w:p>
        </w:tc>
      </w:tr>
      <w:tr w:rsidTr="00B75EF3">
        <w:tblPrEx>
          <w:tblW w:w="0" w:type="auto"/>
          <w:tblCellMar>
            <w:left w:w="62" w:type="dxa"/>
            <w:right w:w="62" w:type="dxa"/>
          </w:tblCellMar>
          <w:tblLook w:val="0000"/>
        </w:tblPrEx>
        <w:trPr>
          <w:trHeight w:val="1557"/>
        </w:trPr>
        <w:tc>
          <w:tcPr>
            <w:tcW w:w="0" w:type="auto"/>
            <w:tcBorders>
              <w:top w:val="nil"/>
              <w:left w:val="nil"/>
              <w:bottom w:val="nil"/>
              <w:right w:val="nil"/>
            </w:tcBorders>
            <w:tcMar>
              <w:top w:w="0" w:type="dxa"/>
              <w:left w:w="62" w:type="dxa"/>
              <w:bottom w:w="0" w:type="dxa"/>
              <w:right w:w="62" w:type="dxa"/>
            </w:tcMar>
          </w:tcPr>
          <w:p w:rsidR="00000000" w:rsidRPr="00B11B27" w:rsidP="00B11B27">
            <w:pPr>
              <w:pStyle w:val="ListBullet"/>
            </w:pPr>
            <w:r w:rsidRPr="00B11B27">
              <w:t xml:space="preserve">identifying activities carried out in a rail yard or siding </w:t>
            </w:r>
          </w:p>
          <w:p w:rsidR="00000000" w:rsidRPr="00B11B27" w:rsidP="00B11B27">
            <w:pPr>
              <w:pStyle w:val="ListBullet"/>
            </w:pPr>
            <w:r w:rsidRPr="00B11B27">
              <w:t>identifying job hazards and possible safety events and taking required action to minimise, control or eliminate identified hazards</w:t>
            </w:r>
          </w:p>
          <w:p w:rsidR="00000000" w:rsidRPr="00B11B27" w:rsidP="00B11B27">
            <w:pPr>
              <w:pStyle w:val="ListBullet"/>
            </w:pPr>
            <w:r w:rsidRPr="00B11B27">
              <w:t>identifying layout, main features and equipment in a rail yard o</w:t>
            </w:r>
            <w:r w:rsidRPr="00B11B27">
              <w:t xml:space="preserve">r siding </w:t>
            </w:r>
          </w:p>
          <w:p w:rsidR="00000000" w:rsidRPr="00B11B27" w:rsidP="00B11B27">
            <w:pPr>
              <w:pStyle w:val="ListBullet"/>
            </w:pPr>
            <w:r w:rsidRPr="00B11B27">
              <w:t>interpreting and following operational instructions.</w:t>
            </w:r>
          </w:p>
        </w:tc>
      </w:tr>
    </w:tbl>
    <w:p w:rsidR="00000000" w:rsidRPr="00B11B27" w:rsidP="00B11B27">
      <w:pPr>
        <w:pStyle w:val="BodyText"/>
      </w:pPr>
    </w:p>
    <w:p w:rsidR="00000000" w:rsidRPr="00B11B27" w:rsidP="00B11B27">
      <w:pPr>
        <w:pStyle w:val="AllowPageBreak"/>
      </w:pPr>
    </w:p>
    <w:p w:rsidR="00000000" w:rsidRPr="00B11B27" w:rsidP="00B11B27">
      <w:pPr>
        <w:pStyle w:val="Heading1"/>
      </w:pPr>
      <w:bookmarkStart w:id="13" w:name="O_749524"/>
      <w:bookmarkEnd w:id="13"/>
      <w:r w:rsidRPr="00B11B27">
        <w:t>Knowledge Evidence</w:t>
      </w:r>
    </w:p>
    <w:tbl>
      <w:tblPr>
        <w:tblW w:w="0" w:type="auto"/>
        <w:tblCellMar>
          <w:left w:w="62" w:type="dxa"/>
          <w:right w:w="62" w:type="dxa"/>
        </w:tblCellMar>
        <w:tblLook w:val="0000"/>
      </w:tblPr>
      <w:tblGrid>
        <w:gridCol w:w="9196"/>
      </w:tblGrid>
      <w:tr w:rsidTr="00B75EF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11B27">
            <w:pPr>
              <w:pStyle w:val="BodyText"/>
              <w:rPr>
                <w:lang w:val="en-NZ"/>
              </w:rPr>
            </w:pPr>
            <w:r w:rsidRPr="00B11B27">
              <w:t>Evidence required to demonstrate competence in this unit must be relevant to and satisfy all of the requirements of the elements and performance criteria and include knowledge of:</w:t>
            </w:r>
          </w:p>
        </w:tc>
      </w:tr>
      <w:tr w:rsidTr="00B75EF3">
        <w:tblPrEx>
          <w:tblW w:w="0" w:type="auto"/>
          <w:tblCellMar>
            <w:left w:w="62" w:type="dxa"/>
            <w:right w:w="62" w:type="dxa"/>
          </w:tblCellMar>
          <w:tblLook w:val="0000"/>
        </w:tblPrEx>
        <w:trPr>
          <w:trHeight w:val="371"/>
        </w:trPr>
        <w:tc>
          <w:tcPr>
            <w:tcW w:w="0" w:type="auto"/>
            <w:tcBorders>
              <w:top w:val="nil"/>
              <w:left w:val="nil"/>
              <w:bottom w:val="nil"/>
              <w:right w:val="nil"/>
            </w:tcBorders>
            <w:tcMar>
              <w:top w:w="0" w:type="dxa"/>
              <w:left w:w="62" w:type="dxa"/>
              <w:bottom w:w="0" w:type="dxa"/>
              <w:right w:w="62" w:type="dxa"/>
            </w:tcMar>
          </w:tcPr>
          <w:p w:rsidR="00000000" w:rsidRPr="00B11B27" w:rsidP="00B11B27">
            <w:pPr>
              <w:pStyle w:val="ListBullet"/>
            </w:pPr>
            <w:r w:rsidRPr="00B11B27">
              <w:t>above and below ground services</w:t>
            </w:r>
          </w:p>
          <w:p w:rsidR="00000000" w:rsidRPr="00B11B27" w:rsidP="00B11B27">
            <w:pPr>
              <w:pStyle w:val="ListBullet"/>
            </w:pPr>
            <w:r w:rsidRPr="00B11B27">
              <w:t>features of track, layout and geometry</w:t>
            </w:r>
          </w:p>
          <w:p w:rsidR="00000000" w:rsidRPr="00B11B27" w:rsidP="00B11B27">
            <w:pPr>
              <w:pStyle w:val="ListBullet"/>
            </w:pPr>
            <w:r w:rsidRPr="00B11B27">
              <w:t>ove</w:t>
            </w:r>
            <w:r w:rsidRPr="00B11B27">
              <w:t>rhead and/or electrical infrastructure</w:t>
            </w:r>
          </w:p>
          <w:p w:rsidR="00000000" w:rsidRPr="00B11B27" w:rsidP="00B11B27">
            <w:pPr>
              <w:pStyle w:val="ListBullet"/>
            </w:pPr>
            <w:r w:rsidRPr="00B11B27">
              <w:t>primary rail activities and safety management systems</w:t>
            </w:r>
          </w:p>
          <w:p w:rsidR="00000000" w:rsidRPr="00B11B27" w:rsidP="00B11B27">
            <w:pPr>
              <w:pStyle w:val="ListBullet"/>
            </w:pPr>
            <w:r w:rsidRPr="00B11B27">
              <w:t>rail, rail track vehicles and rolling stock</w:t>
            </w:r>
          </w:p>
          <w:p w:rsidR="00000000" w:rsidRPr="00B11B27" w:rsidP="00B11B27">
            <w:pPr>
              <w:pStyle w:val="ListBullet"/>
            </w:pPr>
            <w:r w:rsidRPr="00B11B27">
              <w:t>relevant communications systems and procedures</w:t>
            </w:r>
          </w:p>
          <w:p w:rsidR="00000000" w:rsidRPr="00B11B27" w:rsidP="00B11B27">
            <w:pPr>
              <w:pStyle w:val="ListBullet"/>
            </w:pPr>
            <w:r w:rsidRPr="00B11B27">
              <w:t>relevant rail danger zones</w:t>
            </w:r>
          </w:p>
          <w:p w:rsidR="00000000" w:rsidRPr="00B11B27" w:rsidP="00B11B27">
            <w:pPr>
              <w:pStyle w:val="ListBullet"/>
            </w:pPr>
            <w:r w:rsidRPr="00B11B27">
              <w:t>relevant sections of applicable state/territo</w:t>
            </w:r>
            <w:r w:rsidRPr="00B11B27">
              <w:t>ry legislated rail safety requirements, codes of practice and/or guidelines</w:t>
            </w:r>
          </w:p>
          <w:p w:rsidR="00000000" w:rsidRPr="00B11B27" w:rsidP="00B11B27">
            <w:pPr>
              <w:pStyle w:val="ListBullet"/>
            </w:pPr>
            <w:r w:rsidRPr="00B11B27">
              <w:t>track components and layout</w:t>
            </w:r>
          </w:p>
          <w:p w:rsidR="00000000" w:rsidRPr="00B11B27" w:rsidP="00B11B27">
            <w:pPr>
              <w:pStyle w:val="ListBullet"/>
            </w:pPr>
            <w:r w:rsidRPr="00B11B27">
              <w:t>track, trackside equipment and yard structure terminology.</w:t>
            </w:r>
          </w:p>
        </w:tc>
      </w:tr>
    </w:tbl>
    <w:p w:rsidR="00000000" w:rsidRPr="00B11B27" w:rsidP="00B11B27">
      <w:pPr>
        <w:pStyle w:val="BodyText"/>
      </w:pPr>
    </w:p>
    <w:p w:rsidR="00000000" w:rsidRPr="00B11B27" w:rsidP="00B11B27">
      <w:pPr>
        <w:pStyle w:val="AllowPageBreak"/>
      </w:pPr>
    </w:p>
    <w:p w:rsidR="00000000" w:rsidRPr="00B11B27" w:rsidP="00B11B27">
      <w:pPr>
        <w:pStyle w:val="Heading1"/>
      </w:pPr>
      <w:bookmarkStart w:id="14" w:name="O_749525"/>
      <w:bookmarkEnd w:id="14"/>
      <w:r w:rsidRPr="00B11B27">
        <w:t>Assessment Conditions</w:t>
      </w:r>
    </w:p>
    <w:p w:rsidR="00000000" w:rsidRPr="00B11B27" w:rsidP="00B75EF3">
      <w:pPr>
        <w:pStyle w:val="BodyText"/>
      </w:pPr>
      <w:r w:rsidRPr="00B11B27">
        <w:t xml:space="preserve">As a minimum, assessors must satisfy applicable regulatory requirements, which include requirements in the </w:t>
      </w:r>
      <w:r w:rsidRPr="00B11B27">
        <w:rPr>
          <w:rStyle w:val="Emphasis"/>
        </w:rPr>
        <w:t>Standards for Registered Training Organisations</w:t>
      </w:r>
      <w:r w:rsidRPr="00B11B27">
        <w:t xml:space="preserve"> current at the time of assessment. </w:t>
      </w:r>
    </w:p>
    <w:p w:rsidR="00000000" w:rsidRPr="00B11B27" w:rsidP="00B75EF3">
      <w:pPr>
        <w:pStyle w:val="BodyText"/>
      </w:pPr>
      <w:r w:rsidRPr="00B11B27">
        <w:t>As a minimum, assessment must satisfy applicable regulatory requi</w:t>
      </w:r>
      <w:r w:rsidRPr="00B11B27">
        <w:t xml:space="preserve">rements, which include requirements in the </w:t>
      </w:r>
      <w:r w:rsidRPr="00B11B27">
        <w:rPr>
          <w:rStyle w:val="Emphasis"/>
        </w:rPr>
        <w:t>Standards for Registered Training Organisations</w:t>
      </w:r>
      <w:r w:rsidRPr="00B11B27">
        <w:t xml:space="preserve"> current at the time of assessment.</w:t>
      </w:r>
    </w:p>
    <w:p w:rsidR="00000000" w:rsidRPr="00B11B27" w:rsidP="00B75EF3">
      <w:pPr>
        <w:pStyle w:val="BodyText"/>
      </w:pPr>
      <w:r w:rsidRPr="00B11B27">
        <w:t>Assessment must occur in workplace operational situations or, where this is not available, in simulated workplace operational situ</w:t>
      </w:r>
      <w:r w:rsidRPr="00B11B27">
        <w:t>ations that replicate rail workplace conditions.</w:t>
      </w:r>
    </w:p>
    <w:p w:rsidR="00000000" w:rsidRPr="00B11B27" w:rsidP="00B75EF3">
      <w:pPr>
        <w:pStyle w:val="BodyText"/>
      </w:pPr>
      <w:r w:rsidRPr="00B11B27">
        <w:t>Assessment processes and techniques must be appropriate to the language, literacy and numeracy requirements of the work being performed and the needs of the candidate.</w:t>
      </w:r>
    </w:p>
    <w:p w:rsidR="00000000" w:rsidRPr="00B11B27" w:rsidP="00B75EF3">
      <w:pPr>
        <w:pStyle w:val="BodyText"/>
      </w:pPr>
      <w:r w:rsidRPr="00B11B27">
        <w:t>Resources for assessment may include:</w:t>
      </w:r>
    </w:p>
    <w:p w:rsidR="00000000" w:rsidRPr="00B11B27" w:rsidP="00B11B27">
      <w:pPr>
        <w:pStyle w:val="ListBullet"/>
      </w:pPr>
      <w:r w:rsidRPr="00B11B27">
        <w:t>a range of relevant exercises, case studies and/or simulations</w:t>
      </w:r>
    </w:p>
    <w:p w:rsidR="00000000" w:rsidRPr="00B11B27" w:rsidP="00B11B27">
      <w:pPr>
        <w:pStyle w:val="ListBullet"/>
      </w:pPr>
      <w:r w:rsidRPr="00B11B27">
        <w:t>relevant and appropriate materials, tools, equipment and personal protective equipment currently used in industry</w:t>
      </w:r>
    </w:p>
    <w:p w:rsidR="00B75EF3" w:rsidP="00B11B27">
      <w:pPr>
        <w:pStyle w:val="ListBullet"/>
      </w:pPr>
      <w:r w:rsidRPr="00B11B27">
        <w:t>applicable documentation including workplace procedures, regulations, codes of practice and operation manuals</w:t>
      </w:r>
    </w:p>
    <w:p w:rsidR="00B75EF3" w:rsidP="00B11B27">
      <w:pPr>
        <w:pStyle w:val="ListBullet"/>
      </w:pPr>
    </w:p>
    <w:p w:rsidR="00000000" w:rsidRPr="00B11B27" w:rsidP="00B11B27">
      <w:pPr>
        <w:pStyle w:val="Heading1"/>
      </w:pPr>
      <w:bookmarkStart w:id="15" w:name="O_749528"/>
      <w:bookmarkEnd w:id="15"/>
      <w:r w:rsidRPr="00B11B27">
        <w:t>Links</w:t>
      </w:r>
    </w:p>
    <w:p w:rsidR="00000000" w:rsidRPr="00B11B27" w:rsidP="00B75EF3">
      <w:pPr>
        <w:pStyle w:val="BodyText"/>
      </w:pPr>
      <w:r w:rsidRPr="00B11B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4BA9">
        <w:rPr>
          <w:rStyle w:val="Hyperlink"/>
        </w:rPr>
        <w:t>https://vetnet.gov.au/Pages/TrainingDocs.aspx?q=df441c6e-213d-43e3-874c-0b3f7036d851</w:t>
      </w:r>
      <w:r>
        <w:fldChar w:fldCharType="end"/>
      </w:r>
    </w:p>
    <w:p w:rsidR="00000000" w:rsidRPr="00B11B27" w:rsidP="00B11B27"/>
    <w:sectPr w:rsidSect="00B11B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rsidRPr="00B75EF3" w:rsidP="00B75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F3" w:rsidP="00B11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EF3" w:rsidP="00B11B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75EF3" w:rsidP="00B11B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rsidP="00B11B27">
    <w:pPr>
      <w:pStyle w:val="Footer"/>
      <w:framePr w:wrap="around"/>
    </w:pPr>
    <w:r>
      <w:fldChar w:fldCharType="begin"/>
    </w:r>
    <w:r>
      <w:instrText xml:space="preserve"> DOCPROPERTY  Subject  \* MERGEFORMAT </w:instrText>
    </w:r>
    <w:r>
      <w:fldChar w:fldCharType="separate"/>
    </w:r>
    <w:r w:rsidR="00B75EF3">
      <w:t>Approved</w:t>
    </w:r>
    <w:r w:rsidR="00B75EF3">
      <w:fldChar w:fldCharType="end"/>
    </w:r>
    <w:r>
      <w:tab/>
      <w:t xml:space="preserve">Page </w:t>
    </w:r>
    <w:r>
      <w:fldChar w:fldCharType="begin"/>
    </w:r>
    <w:r>
      <w:instrText xml:space="preserve"> PAGE  \* Arabic  \* MERGEFORMAT </w:instrText>
    </w:r>
    <w:r>
      <w:fldChar w:fldCharType="separate"/>
    </w:r>
    <w:r w:rsidR="00B75E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EF3">
      <w:rPr>
        <w:noProof/>
      </w:rPr>
      <w:t>4</w:t>
    </w:r>
    <w:r>
      <w:rPr>
        <w:noProof/>
      </w:rPr>
      <w:fldChar w:fldCharType="end"/>
    </w:r>
  </w:p>
  <w:p w:rsidR="00B11B27" w:rsidP="00B11B27">
    <w:pPr>
      <w:pStyle w:val="Footer"/>
      <w:framePr w:wrap="around"/>
    </w:pPr>
    <w:r>
      <w:t xml:space="preserve">© Commonwealth of Australia, </w:t>
    </w:r>
    <w:r>
      <w:fldChar w:fldCharType="begin"/>
    </w:r>
    <w:r>
      <w:instrText xml:space="preserve"> DATE  \@ "yyyy"  \* MERGEFORMAT </w:instrText>
    </w:r>
    <w:r>
      <w:fldChar w:fldCharType="separate"/>
    </w:r>
    <w:r w:rsidR="00B75EF3">
      <w:rPr>
        <w:noProof/>
      </w:rPr>
      <w:t>2025</w:t>
    </w:r>
    <w:r>
      <w:fldChar w:fldCharType="end"/>
    </w:r>
    <w:r>
      <w:tab/>
    </w:r>
    <w:r>
      <w:fldChar w:fldCharType="begin"/>
    </w:r>
    <w:r>
      <w:instrText xml:space="preserve"> DOCPROPERTY  Author  \* MERGEFORMAT </w:instrText>
    </w:r>
    <w:r>
      <w:fldChar w:fldCharType="separate"/>
    </w:r>
    <w:r w:rsidR="00B75EF3">
      <w:t>Industry Skills Australia</w:t>
    </w:r>
    <w:r w:rsidR="00B75EF3">
      <w:fldChar w:fldCharType="end"/>
    </w:r>
  </w:p>
  <w:p w:rsidR="00B11B27" w:rsidP="00B11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B27" w:rsidRPr="00B75EF3" w:rsidP="00B75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F3" w:rsidRPr="002D2AF8" w:rsidP="00B11B27">
    <w:pPr>
      <w:pStyle w:val="Header"/>
      <w:framePr w:wrap="around"/>
    </w:pPr>
    <w:r>
      <w:fldChar w:fldCharType="begin"/>
    </w:r>
    <w:r>
      <w:instrText xml:space="preserve"> TITLE   \* MERGEFORMAT </w:instrText>
    </w:r>
    <w:r>
      <w:fldChar w:fldCharType="separate"/>
    </w:r>
    <w:r>
      <w:t>TLIB2122 Apply awareness of fundamentals of rail operations in yards or sidings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EF3" w:rsidP="00B11B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7" w:rsidRPr="002D2AF8" w:rsidP="00B11B27">
    <w:pPr>
      <w:pStyle w:val="Header"/>
      <w:framePr w:wrap="around"/>
    </w:pPr>
    <w:r>
      <w:fldChar w:fldCharType="begin"/>
    </w:r>
    <w:r>
      <w:instrText xml:space="preserve"> TITLE   \* MERGEFORMAT </w:instrText>
    </w:r>
    <w:r>
      <w:fldChar w:fldCharType="separate"/>
    </w:r>
    <w:r w:rsidR="00B75EF3">
      <w:t>TLIB2122 Apply awareness of fundamentals of rail operations in yards or sidings</w:t>
    </w:r>
    <w:r w:rsidR="00B75EF3">
      <w:fldChar w:fldCharType="end"/>
    </w:r>
    <w:r>
      <w:tab/>
      <w:t xml:space="preserve">Date this document was generated: </w:t>
    </w:r>
    <w:r>
      <w:fldChar w:fldCharType="begin"/>
    </w:r>
    <w:r>
      <w:instrText xml:space="preserve"> CREATEDATE  \@ "d MMMM yyyy"  \* MERGEFORMAT </w:instrText>
    </w:r>
    <w:r>
      <w:fldChar w:fldCharType="separate"/>
    </w:r>
    <w:r w:rsidR="00B75EF3">
      <w:rPr>
        <w:noProof/>
      </w:rPr>
      <w:t>2 March 2025</w:t>
    </w:r>
    <w:r>
      <w:fldChar w:fldCharType="end"/>
    </w:r>
  </w:p>
  <w:p w:rsidR="00B11B27" w:rsidP="00B11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885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42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B27"/>
    <w:pPr>
      <w:spacing w:before="360" w:after="60"/>
      <w:outlineLvl w:val="0"/>
    </w:pPr>
    <w:rPr>
      <w:sz w:val="32"/>
    </w:rPr>
  </w:style>
  <w:style w:type="paragraph" w:styleId="Heading2">
    <w:name w:val="heading 2"/>
    <w:basedOn w:val="HeadingBase"/>
    <w:next w:val="BodyText"/>
    <w:link w:val="Heading2Char"/>
    <w:qFormat/>
    <w:rsid w:val="00B11B27"/>
    <w:pPr>
      <w:keepLines/>
      <w:spacing w:before="240" w:after="120"/>
      <w:outlineLvl w:val="1"/>
    </w:pPr>
    <w:rPr>
      <w:sz w:val="28"/>
      <w:szCs w:val="40"/>
    </w:rPr>
  </w:style>
  <w:style w:type="paragraph" w:styleId="Heading3">
    <w:name w:val="heading 3"/>
    <w:basedOn w:val="HeadingBase"/>
    <w:next w:val="BodyText"/>
    <w:link w:val="Heading3Char"/>
    <w:qFormat/>
    <w:rsid w:val="00B11B27"/>
    <w:pPr>
      <w:spacing w:before="180" w:after="120"/>
      <w:outlineLvl w:val="2"/>
    </w:pPr>
    <w:rPr>
      <w:spacing w:val="-10"/>
      <w:kern w:val="32"/>
    </w:rPr>
  </w:style>
  <w:style w:type="paragraph" w:styleId="Heading4">
    <w:name w:val="heading 4"/>
    <w:basedOn w:val="HeadingBase"/>
    <w:next w:val="BodyText"/>
    <w:link w:val="Heading4Char"/>
    <w:qFormat/>
    <w:rsid w:val="00B11B27"/>
    <w:pPr>
      <w:spacing w:before="160" w:after="120"/>
      <w:outlineLvl w:val="3"/>
    </w:pPr>
    <w:rPr>
      <w:sz w:val="22"/>
    </w:rPr>
  </w:style>
  <w:style w:type="paragraph" w:styleId="Heading5">
    <w:name w:val="heading 5"/>
    <w:basedOn w:val="HeadingBase"/>
    <w:next w:val="Normal"/>
    <w:link w:val="Heading5Char"/>
    <w:qFormat/>
    <w:rsid w:val="00B11B27"/>
    <w:pPr>
      <w:spacing w:before="80"/>
      <w:outlineLvl w:val="4"/>
    </w:pPr>
    <w:rPr>
      <w:color w:val="918585"/>
      <w:sz w:val="20"/>
    </w:rPr>
  </w:style>
  <w:style w:type="paragraph" w:styleId="Heading6">
    <w:name w:val="heading 6"/>
    <w:basedOn w:val="HeadingBase"/>
    <w:next w:val="Normal"/>
    <w:link w:val="Heading6Char"/>
    <w:qFormat/>
    <w:rsid w:val="00B11B27"/>
    <w:pPr>
      <w:spacing w:before="60"/>
      <w:outlineLvl w:val="5"/>
    </w:pPr>
    <w:rPr>
      <w:color w:val="918585"/>
      <w:sz w:val="20"/>
    </w:rPr>
  </w:style>
  <w:style w:type="paragraph" w:styleId="Heading7">
    <w:name w:val="heading 7"/>
    <w:basedOn w:val="Normal"/>
    <w:next w:val="Normal"/>
    <w:link w:val="Heading7Char"/>
    <w:qFormat/>
    <w:rsid w:val="00B11B27"/>
    <w:pPr>
      <w:ind w:left="720"/>
      <w:outlineLvl w:val="6"/>
    </w:pPr>
    <w:rPr>
      <w:i/>
    </w:rPr>
  </w:style>
  <w:style w:type="paragraph" w:styleId="Heading8">
    <w:name w:val="heading 8"/>
    <w:basedOn w:val="Normal"/>
    <w:next w:val="Normal"/>
    <w:link w:val="Heading8Char"/>
    <w:qFormat/>
    <w:rsid w:val="00B11B27"/>
    <w:pPr>
      <w:ind w:left="720"/>
      <w:outlineLvl w:val="7"/>
    </w:pPr>
    <w:rPr>
      <w:i/>
    </w:rPr>
  </w:style>
  <w:style w:type="paragraph" w:styleId="Heading9">
    <w:name w:val="heading 9"/>
    <w:basedOn w:val="Normal"/>
    <w:next w:val="Normal"/>
    <w:link w:val="Heading9Char"/>
    <w:qFormat/>
    <w:rsid w:val="00B11B27"/>
    <w:pPr>
      <w:ind w:left="720"/>
      <w:outlineLvl w:val="8"/>
    </w:pPr>
    <w:rPr>
      <w:i/>
    </w:rPr>
  </w:style>
  <w:style w:type="character" w:default="1" w:styleId="DefaultParagraphFont">
    <w:name w:val="Default Paragraph Font"/>
    <w:uiPriority w:val="1"/>
    <w:unhideWhenUsed/>
    <w:rsid w:val="00B11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B27"/>
  </w:style>
  <w:style w:type="character" w:customStyle="1" w:styleId="Heading1Char">
    <w:name w:val="Heading 1 Char"/>
    <w:basedOn w:val="DefaultParagraphFont"/>
    <w:link w:val="Heading1"/>
    <w:rsid w:val="00B11B27"/>
    <w:rPr>
      <w:rFonts w:ascii="Times New Roman" w:eastAsia="Times New Roman" w:hAnsi="Times New Roman" w:cs="Times New Roman"/>
      <w:b/>
      <w:sz w:val="32"/>
      <w:szCs w:val="20"/>
      <w:lang w:eastAsia="en-US"/>
    </w:rPr>
  </w:style>
  <w:style w:type="paragraph" w:styleId="BodyText">
    <w:name w:val="Body Text"/>
    <w:basedOn w:val="Normal"/>
    <w:link w:val="BodyTextChar"/>
    <w:rsid w:val="00B11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B27"/>
    <w:rPr>
      <w:rFonts w:ascii="Times New Roman" w:eastAsia="Times New Roman" w:hAnsi="Times New Roman" w:cs="Times New Roman"/>
      <w:sz w:val="24"/>
      <w:lang w:eastAsia="en-US"/>
    </w:rPr>
  </w:style>
  <w:style w:type="paragraph" w:styleId="ListBullet">
    <w:name w:val="List Bullet"/>
    <w:basedOn w:val="List"/>
    <w:rsid w:val="00B11B27"/>
    <w:pPr>
      <w:numPr>
        <w:numId w:val="11"/>
      </w:numPr>
      <w:tabs>
        <w:tab w:val="clear" w:pos="340"/>
      </w:tabs>
      <w:spacing w:before="40" w:after="40"/>
    </w:pPr>
  </w:style>
  <w:style w:type="character" w:customStyle="1" w:styleId="SpecialBold">
    <w:name w:val="Special Bold"/>
    <w:basedOn w:val="DefaultParagraphFont"/>
    <w:rsid w:val="00B11B27"/>
    <w:rPr>
      <w:b/>
      <w:spacing w:val="0"/>
    </w:rPr>
  </w:style>
  <w:style w:type="character" w:styleId="Emphasis">
    <w:name w:val="Emphasis"/>
    <w:basedOn w:val="DefaultParagraphFont"/>
    <w:qFormat/>
    <w:rsid w:val="00B11B27"/>
    <w:rPr>
      <w:i/>
    </w:rPr>
  </w:style>
  <w:style w:type="paragraph" w:customStyle="1" w:styleId="SuperHeading">
    <w:name w:val="SuperHeading"/>
    <w:basedOn w:val="Normal"/>
    <w:rsid w:val="00B11B27"/>
    <w:pPr>
      <w:spacing w:before="240" w:after="120"/>
      <w:outlineLvl w:val="0"/>
    </w:pPr>
    <w:rPr>
      <w:rFonts w:ascii="Times New Roman" w:hAnsi="Times New Roman"/>
      <w:b/>
      <w:sz w:val="32"/>
    </w:rPr>
  </w:style>
  <w:style w:type="paragraph" w:customStyle="1" w:styleId="AllowPageBreak">
    <w:name w:val="AllowPageBreak"/>
    <w:rsid w:val="00B11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B27"/>
    <w:rPr>
      <w:rFonts w:ascii="Courier New" w:eastAsia="Times New Roman" w:hAnsi="Courier New" w:cs="Times New Roman"/>
      <w:i/>
      <w:szCs w:val="20"/>
      <w:lang w:eastAsia="en-US"/>
    </w:rPr>
  </w:style>
  <w:style w:type="paragraph" w:customStyle="1" w:styleId="HeadingBase">
    <w:name w:val="Heading Base"/>
    <w:rsid w:val="00B11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B27"/>
    <w:pPr>
      <w:tabs>
        <w:tab w:val="right" w:leader="dot" w:pos="9072"/>
      </w:tabs>
      <w:ind w:left="567"/>
    </w:pPr>
    <w:rPr>
      <w:szCs w:val="22"/>
    </w:rPr>
  </w:style>
  <w:style w:type="paragraph" w:customStyle="1" w:styleId="TOCBase">
    <w:name w:val="TOC Base"/>
    <w:rsid w:val="00B11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B27"/>
    <w:pPr>
      <w:tabs>
        <w:tab w:val="right" w:leader="dot" w:pos="9072"/>
      </w:tabs>
      <w:spacing w:before="40" w:after="40"/>
      <w:ind w:left="284"/>
    </w:pPr>
    <w:rPr>
      <w:rFonts w:ascii="Times New Roman" w:hAnsi="Times New Roman"/>
    </w:rPr>
  </w:style>
  <w:style w:type="paragraph" w:styleId="TOC1">
    <w:name w:val="toc 1"/>
    <w:basedOn w:val="TOCBase"/>
    <w:next w:val="Normal"/>
    <w:rsid w:val="00B11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B27"/>
    <w:rPr>
      <w:rFonts w:ascii="Times New Roman" w:eastAsia="Times New Roman" w:hAnsi="Times New Roman" w:cs="Times New Roman"/>
      <w:sz w:val="16"/>
      <w:lang w:eastAsia="en-US"/>
    </w:rPr>
  </w:style>
  <w:style w:type="paragraph" w:styleId="Title">
    <w:name w:val="Title"/>
    <w:basedOn w:val="HeadingBase"/>
    <w:link w:val="TitleChar"/>
    <w:qFormat/>
    <w:rsid w:val="00B11B27"/>
    <w:pPr>
      <w:spacing w:before="5040"/>
      <w:jc w:val="center"/>
    </w:pPr>
    <w:rPr>
      <w:sz w:val="48"/>
      <w:szCs w:val="72"/>
      <w:lang w:val="en-US"/>
    </w:rPr>
  </w:style>
  <w:style w:type="character" w:customStyle="1" w:styleId="TitleChar">
    <w:name w:val="Title Char"/>
    <w:basedOn w:val="DefaultParagraphFont"/>
    <w:link w:val="Title"/>
    <w:rsid w:val="00B11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B27"/>
    <w:pPr>
      <w:tabs>
        <w:tab w:val="left" w:pos="3600"/>
        <w:tab w:val="left" w:pos="3958"/>
      </w:tabs>
    </w:pPr>
  </w:style>
  <w:style w:type="paragraph" w:styleId="List">
    <w:name w:val="List"/>
    <w:basedOn w:val="BodyText"/>
    <w:next w:val="BodyText"/>
    <w:rsid w:val="00B11B27"/>
    <w:pPr>
      <w:tabs>
        <w:tab w:val="left" w:pos="340"/>
      </w:tabs>
      <w:spacing w:before="60" w:after="60"/>
      <w:ind w:left="340" w:hanging="340"/>
    </w:pPr>
  </w:style>
  <w:style w:type="paragraph" w:customStyle="1" w:styleId="Note">
    <w:name w:val="Note"/>
    <w:basedOn w:val="BodyText"/>
    <w:rsid w:val="00B11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B27"/>
    <w:pPr>
      <w:framePr w:wrap="auto" w:hAnchor="text" w:y="6049"/>
    </w:pPr>
    <w:rPr>
      <w:color w:val="000000"/>
      <w:sz w:val="40"/>
    </w:rPr>
  </w:style>
  <w:style w:type="paragraph" w:customStyle="1" w:styleId="TOCTitle">
    <w:name w:val="TOCTitle"/>
    <w:basedOn w:val="Heading1"/>
    <w:rsid w:val="00B11B27"/>
    <w:pPr>
      <w:spacing w:after="240"/>
      <w:jc w:val="center"/>
      <w:outlineLvl w:val="9"/>
    </w:pPr>
    <w:rPr>
      <w:caps/>
    </w:rPr>
  </w:style>
  <w:style w:type="paragraph" w:customStyle="1" w:styleId="Version">
    <w:name w:val="Version"/>
    <w:rsid w:val="00B11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B27"/>
    <w:pPr>
      <w:numPr>
        <w:numId w:val="12"/>
      </w:numPr>
      <w:tabs>
        <w:tab w:val="clear" w:pos="680"/>
      </w:tabs>
    </w:pPr>
  </w:style>
  <w:style w:type="paragraph" w:styleId="Index1">
    <w:name w:val="index 1"/>
    <w:basedOn w:val="Normal"/>
    <w:next w:val="Normal"/>
    <w:semiHidden/>
    <w:rsid w:val="00B11B27"/>
    <w:pPr>
      <w:keepNext w:val="0"/>
      <w:tabs>
        <w:tab w:val="right" w:pos="4176"/>
      </w:tabs>
      <w:ind w:left="198" w:hanging="198"/>
    </w:pPr>
    <w:rPr>
      <w:rFonts w:ascii="Garamond" w:hAnsi="Garamond"/>
    </w:rPr>
  </w:style>
  <w:style w:type="paragraph" w:styleId="IndexHeading">
    <w:name w:val="index heading"/>
    <w:basedOn w:val="Normal"/>
    <w:next w:val="Index1"/>
    <w:semiHidden/>
    <w:rsid w:val="00B11B27"/>
    <w:pPr>
      <w:spacing w:before="120" w:after="120"/>
    </w:pPr>
    <w:rPr>
      <w:rFonts w:ascii="Arial" w:hAnsi="Arial"/>
      <w:b/>
      <w:color w:val="918585"/>
      <w:sz w:val="24"/>
    </w:rPr>
  </w:style>
  <w:style w:type="paragraph" w:styleId="Header">
    <w:name w:val="header"/>
    <w:basedOn w:val="Normal"/>
    <w:link w:val="HeaderChar"/>
    <w:rsid w:val="00B11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B27"/>
    <w:rPr>
      <w:rFonts w:ascii="Times New Roman" w:eastAsia="Times New Roman" w:hAnsi="Times New Roman" w:cs="Times New Roman"/>
      <w:sz w:val="16"/>
      <w:szCs w:val="20"/>
      <w:lang w:val="en-GB" w:eastAsia="en-US"/>
    </w:rPr>
  </w:style>
  <w:style w:type="paragraph" w:customStyle="1" w:styleId="Chapter">
    <w:name w:val="Chapter"/>
    <w:basedOn w:val="Normal"/>
    <w:rsid w:val="00B11B27"/>
    <w:pPr>
      <w:spacing w:before="240"/>
    </w:pPr>
    <w:rPr>
      <w:rFonts w:ascii="Times New Roman" w:hAnsi="Times New Roman"/>
      <w:smallCaps/>
      <w:spacing w:val="80"/>
      <w:sz w:val="28"/>
    </w:rPr>
  </w:style>
  <w:style w:type="paragraph" w:customStyle="1" w:styleId="InChapter">
    <w:name w:val="InChapter"/>
    <w:basedOn w:val="Heading3"/>
    <w:rsid w:val="00B11B27"/>
    <w:pPr>
      <w:spacing w:after="240"/>
      <w:outlineLvl w:val="9"/>
    </w:pPr>
    <w:rPr>
      <w:noProof/>
    </w:rPr>
  </w:style>
  <w:style w:type="paragraph" w:styleId="Index2">
    <w:name w:val="index 2"/>
    <w:basedOn w:val="Normal"/>
    <w:next w:val="Normal"/>
    <w:semiHidden/>
    <w:rsid w:val="00B11B27"/>
    <w:pPr>
      <w:tabs>
        <w:tab w:val="right" w:pos="4176"/>
      </w:tabs>
      <w:ind w:left="568" w:hanging="284"/>
    </w:pPr>
    <w:rPr>
      <w:rFonts w:ascii="Garamond" w:hAnsi="Garamond"/>
    </w:rPr>
  </w:style>
  <w:style w:type="paragraph" w:customStyle="1" w:styleId="Byline">
    <w:name w:val="Byline"/>
    <w:rsid w:val="00B11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B27"/>
    <w:pPr>
      <w:tabs>
        <w:tab w:val="clear" w:pos="3600"/>
        <w:tab w:val="clear" w:pos="3958"/>
      </w:tabs>
      <w:jc w:val="right"/>
    </w:pPr>
  </w:style>
  <w:style w:type="paragraph" w:styleId="Caption">
    <w:name w:val="caption"/>
    <w:basedOn w:val="BodyText"/>
    <w:next w:val="Normal"/>
    <w:qFormat/>
    <w:rsid w:val="00B11B27"/>
    <w:pPr>
      <w:framePr w:w="2268" w:hSpace="181" w:vSpace="181" w:wrap="around" w:vAnchor="text" w:hAnchor="page" w:x="1135" w:y="285" w:anchorLock="1"/>
    </w:pPr>
    <w:rPr>
      <w:i/>
    </w:rPr>
  </w:style>
  <w:style w:type="paragraph" w:customStyle="1" w:styleId="MiniTOCTitle">
    <w:name w:val="MiniTOCTitle"/>
    <w:basedOn w:val="Heading4"/>
    <w:rsid w:val="00B11B27"/>
    <w:pPr>
      <w:spacing w:before="240"/>
      <w:outlineLvl w:val="9"/>
    </w:pPr>
    <w:rPr>
      <w:noProof/>
      <w:sz w:val="24"/>
    </w:rPr>
  </w:style>
  <w:style w:type="paragraph" w:customStyle="1" w:styleId="MiniTOCItem">
    <w:name w:val="MiniTOCItem"/>
    <w:basedOn w:val="ListBullet"/>
    <w:rsid w:val="00B11B27"/>
    <w:pPr>
      <w:numPr>
        <w:numId w:val="0"/>
      </w:numPr>
      <w:tabs>
        <w:tab w:val="right" w:leader="dot" w:pos="6521"/>
      </w:tabs>
      <w:spacing w:before="0" w:after="0"/>
    </w:pPr>
  </w:style>
  <w:style w:type="paragraph" w:customStyle="1" w:styleId="TOFTitle">
    <w:name w:val="TOFTitle"/>
    <w:basedOn w:val="TOCTitle"/>
    <w:rsid w:val="00B11B27"/>
  </w:style>
  <w:style w:type="paragraph" w:styleId="TableofFigures">
    <w:name w:val="table of figures"/>
    <w:basedOn w:val="Normal"/>
    <w:next w:val="Normal"/>
    <w:semiHidden/>
    <w:rsid w:val="00B11B27"/>
    <w:pPr>
      <w:tabs>
        <w:tab w:val="right" w:leader="dot" w:pos="9072"/>
      </w:tabs>
      <w:ind w:left="970" w:hanging="403"/>
    </w:pPr>
    <w:rPr>
      <w:rFonts w:ascii="Times New Roman" w:hAnsi="Times New Roman"/>
      <w:b/>
    </w:rPr>
  </w:style>
  <w:style w:type="paragraph" w:styleId="ListNumber">
    <w:name w:val="List Number"/>
    <w:basedOn w:val="List"/>
    <w:rsid w:val="00B11B27"/>
    <w:pPr>
      <w:numPr>
        <w:numId w:val="14"/>
      </w:numPr>
      <w:tabs>
        <w:tab w:val="clear" w:pos="340"/>
      </w:tabs>
    </w:pPr>
  </w:style>
  <w:style w:type="character" w:customStyle="1" w:styleId="WingdingSymbols">
    <w:name w:val="Wingding Symbols"/>
    <w:rsid w:val="00B11B27"/>
    <w:rPr>
      <w:rFonts w:ascii="Wingdings" w:hAnsi="Wingdings"/>
    </w:rPr>
  </w:style>
  <w:style w:type="paragraph" w:customStyle="1" w:styleId="TableHeading">
    <w:name w:val="Table Heading"/>
    <w:basedOn w:val="HeadingBase"/>
    <w:rsid w:val="00B11B27"/>
    <w:pPr>
      <w:keepLines/>
      <w:pBdr>
        <w:bottom w:val="single" w:sz="6" w:space="1" w:color="918585"/>
      </w:pBdr>
      <w:spacing w:before="240"/>
    </w:pPr>
  </w:style>
  <w:style w:type="character" w:customStyle="1" w:styleId="HotSpot">
    <w:name w:val="HotSpot"/>
    <w:rsid w:val="00B11B27"/>
    <w:rPr>
      <w:color w:val="0033CC"/>
      <w:u w:val="none"/>
    </w:rPr>
  </w:style>
  <w:style w:type="paragraph" w:customStyle="1" w:styleId="BodyTextRight">
    <w:name w:val="Body Text Right"/>
    <w:basedOn w:val="BodyText"/>
    <w:rsid w:val="00B11B27"/>
    <w:pPr>
      <w:spacing w:before="0" w:after="0"/>
      <w:jc w:val="right"/>
    </w:pPr>
  </w:style>
  <w:style w:type="paragraph" w:styleId="Index3">
    <w:name w:val="index 3"/>
    <w:basedOn w:val="ListNumber2"/>
    <w:next w:val="Normal"/>
    <w:semiHidden/>
    <w:rsid w:val="00B11B27"/>
    <w:pPr>
      <w:numPr>
        <w:numId w:val="0"/>
      </w:numPr>
      <w:tabs>
        <w:tab w:val="right" w:leader="dot" w:pos="4176"/>
      </w:tabs>
    </w:pPr>
  </w:style>
  <w:style w:type="paragraph" w:styleId="ListNumber2">
    <w:name w:val="List Number 2"/>
    <w:basedOn w:val="List2"/>
    <w:rsid w:val="00B11B27"/>
    <w:pPr>
      <w:numPr>
        <w:numId w:val="9"/>
      </w:numPr>
      <w:tabs>
        <w:tab w:val="clear" w:pos="1060"/>
      </w:tabs>
    </w:pPr>
  </w:style>
  <w:style w:type="paragraph" w:customStyle="1" w:styleId="MarginNote">
    <w:name w:val="Margin Note"/>
    <w:basedOn w:val="BodyText"/>
    <w:rsid w:val="00B11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B27"/>
    <w:rPr>
      <w:sz w:val="32"/>
    </w:rPr>
  </w:style>
  <w:style w:type="paragraph" w:customStyle="1" w:styleId="HeadingProcedure">
    <w:name w:val="Heading Procedure"/>
    <w:basedOn w:val="HeadingBase"/>
    <w:next w:val="Normal"/>
    <w:rsid w:val="00B11B27"/>
    <w:pPr>
      <w:tabs>
        <w:tab w:val="left" w:pos="0"/>
      </w:tabs>
      <w:spacing w:before="120" w:after="60"/>
    </w:pPr>
    <w:rPr>
      <w:i/>
      <w:color w:val="918585"/>
      <w:sz w:val="22"/>
    </w:rPr>
  </w:style>
  <w:style w:type="paragraph" w:customStyle="1" w:styleId="TableBodyText">
    <w:name w:val="Table Body Text"/>
    <w:basedOn w:val="BodyText"/>
    <w:rsid w:val="00B11B27"/>
    <w:pPr>
      <w:spacing w:before="60" w:after="60"/>
    </w:pPr>
  </w:style>
  <w:style w:type="paragraph" w:styleId="ListContinue">
    <w:name w:val="List Continue"/>
    <w:basedOn w:val="List"/>
    <w:rsid w:val="00B11B27"/>
    <w:pPr>
      <w:ind w:firstLine="0"/>
    </w:pPr>
  </w:style>
  <w:style w:type="paragraph" w:customStyle="1" w:styleId="ListNote">
    <w:name w:val="List Note"/>
    <w:basedOn w:val="List"/>
    <w:rsid w:val="00B11B27"/>
    <w:pPr>
      <w:pBdr>
        <w:top w:val="single" w:sz="6" w:space="2" w:color="918585"/>
        <w:bottom w:val="single" w:sz="6" w:space="2" w:color="918585"/>
      </w:pBdr>
      <w:tabs>
        <w:tab w:val="left" w:pos="1021"/>
      </w:tabs>
      <w:ind w:firstLine="0"/>
    </w:pPr>
  </w:style>
  <w:style w:type="paragraph" w:customStyle="1" w:styleId="Warning">
    <w:name w:val="Warning"/>
    <w:basedOn w:val="BodyText"/>
    <w:rsid w:val="00B11B27"/>
    <w:pPr>
      <w:shd w:val="clear" w:color="auto" w:fill="D9D9D9"/>
      <w:tabs>
        <w:tab w:val="left" w:pos="992"/>
      </w:tabs>
      <w:ind w:left="119" w:right="119"/>
    </w:pPr>
    <w:rPr>
      <w:sz w:val="20"/>
    </w:rPr>
  </w:style>
  <w:style w:type="paragraph" w:customStyle="1" w:styleId="MarginIcons">
    <w:name w:val="Margin Icons"/>
    <w:basedOn w:val="BodyText"/>
    <w:rsid w:val="00B11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B27"/>
    <w:rPr>
      <w:rFonts w:ascii="Courier New" w:hAnsi="Courier New"/>
    </w:rPr>
  </w:style>
  <w:style w:type="paragraph" w:customStyle="1" w:styleId="NoteBullet">
    <w:name w:val="Note Bullet"/>
    <w:basedOn w:val="Note"/>
    <w:rsid w:val="00B11B27"/>
    <w:pPr>
      <w:tabs>
        <w:tab w:val="clear" w:pos="680"/>
      </w:tabs>
      <w:spacing w:before="60" w:after="60"/>
    </w:pPr>
  </w:style>
  <w:style w:type="paragraph" w:customStyle="1" w:styleId="SubHeading2">
    <w:name w:val="SubHeading2"/>
    <w:basedOn w:val="HeadingBase"/>
    <w:rsid w:val="00B11B27"/>
    <w:pPr>
      <w:spacing w:before="240" w:after="60"/>
    </w:pPr>
    <w:rPr>
      <w:sz w:val="20"/>
    </w:rPr>
  </w:style>
  <w:style w:type="paragraph" w:customStyle="1" w:styleId="SubHeading1">
    <w:name w:val="SubHeading1"/>
    <w:basedOn w:val="HeadingBase"/>
    <w:rsid w:val="00B11B27"/>
    <w:pPr>
      <w:spacing w:before="240" w:after="60"/>
    </w:pPr>
    <w:rPr>
      <w:color w:val="918585"/>
      <w:sz w:val="22"/>
    </w:rPr>
  </w:style>
  <w:style w:type="paragraph" w:customStyle="1" w:styleId="SideHeading">
    <w:name w:val="Side Heading"/>
    <w:basedOn w:val="HeadingBase"/>
    <w:rsid w:val="00B11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B27"/>
    <w:pPr>
      <w:numPr>
        <w:numId w:val="10"/>
      </w:numPr>
    </w:pPr>
  </w:style>
  <w:style w:type="paragraph" w:styleId="PlainText">
    <w:name w:val="Plain Text"/>
    <w:basedOn w:val="Normal"/>
    <w:link w:val="PlainTextChar"/>
    <w:rsid w:val="00B11B27"/>
    <w:rPr>
      <w:sz w:val="20"/>
    </w:rPr>
  </w:style>
  <w:style w:type="character" w:customStyle="1" w:styleId="PlainTextChar">
    <w:name w:val="Plain Text Char"/>
    <w:basedOn w:val="DefaultParagraphFont"/>
    <w:link w:val="PlainText"/>
    <w:rsid w:val="00B11B27"/>
    <w:rPr>
      <w:rFonts w:ascii="Courier New" w:eastAsia="Times New Roman" w:hAnsi="Courier New" w:cs="Times New Roman"/>
      <w:sz w:val="20"/>
      <w:szCs w:val="20"/>
      <w:lang w:eastAsia="en-US"/>
    </w:rPr>
  </w:style>
  <w:style w:type="character" w:customStyle="1" w:styleId="MenuOption">
    <w:name w:val="Menu Option"/>
    <w:basedOn w:val="DefaultParagraphFont"/>
    <w:rsid w:val="00B11B27"/>
    <w:rPr>
      <w:b/>
      <w:smallCaps/>
    </w:rPr>
  </w:style>
  <w:style w:type="paragraph" w:customStyle="1" w:styleId="TableListNumber">
    <w:name w:val="Table List Number"/>
    <w:basedOn w:val="ListNumber"/>
    <w:rsid w:val="00B11B27"/>
    <w:pPr>
      <w:numPr>
        <w:numId w:val="0"/>
      </w:numPr>
    </w:pPr>
  </w:style>
  <w:style w:type="paragraph" w:styleId="TOC4">
    <w:name w:val="toc 4"/>
    <w:basedOn w:val="TOCBase"/>
    <w:next w:val="Normal"/>
    <w:semiHidden/>
    <w:rsid w:val="00B11B27"/>
    <w:pPr>
      <w:tabs>
        <w:tab w:val="right" w:leader="dot" w:pos="9071"/>
      </w:tabs>
      <w:ind w:left="1701"/>
    </w:pPr>
  </w:style>
  <w:style w:type="paragraph" w:customStyle="1" w:styleId="ListAlpha">
    <w:name w:val="List Alpha"/>
    <w:basedOn w:val="List"/>
    <w:rsid w:val="00B11B27"/>
    <w:pPr>
      <w:numPr>
        <w:numId w:val="8"/>
      </w:numPr>
    </w:pPr>
  </w:style>
  <w:style w:type="paragraph" w:customStyle="1" w:styleId="ListAlpha2">
    <w:name w:val="List Alpha 2"/>
    <w:basedOn w:val="List2"/>
    <w:rsid w:val="00B11B27"/>
    <w:pPr>
      <w:numPr>
        <w:numId w:val="7"/>
      </w:numPr>
    </w:pPr>
  </w:style>
  <w:style w:type="paragraph" w:styleId="List2">
    <w:name w:val="List 2"/>
    <w:basedOn w:val="BodyText"/>
    <w:rsid w:val="00B11B27"/>
    <w:pPr>
      <w:tabs>
        <w:tab w:val="left" w:pos="680"/>
      </w:tabs>
      <w:spacing w:before="60" w:after="60"/>
      <w:ind w:left="680" w:hanging="340"/>
    </w:pPr>
  </w:style>
  <w:style w:type="paragraph" w:styleId="List3">
    <w:name w:val="List 3"/>
    <w:basedOn w:val="BodyText"/>
    <w:rsid w:val="00B11B27"/>
    <w:pPr>
      <w:tabs>
        <w:tab w:val="left" w:pos="1021"/>
      </w:tabs>
      <w:spacing w:before="60" w:after="60"/>
      <w:ind w:left="1020" w:hanging="340"/>
    </w:pPr>
  </w:style>
  <w:style w:type="paragraph" w:styleId="List4">
    <w:name w:val="List 4"/>
    <w:basedOn w:val="BodyText"/>
    <w:rsid w:val="00B11B27"/>
    <w:pPr>
      <w:tabs>
        <w:tab w:val="left" w:pos="1361"/>
      </w:tabs>
      <w:spacing w:before="60" w:after="60"/>
      <w:ind w:left="1361" w:hanging="340"/>
    </w:pPr>
  </w:style>
  <w:style w:type="paragraph" w:styleId="List5">
    <w:name w:val="List 5"/>
    <w:basedOn w:val="BodyText"/>
    <w:rsid w:val="00B11B27"/>
    <w:pPr>
      <w:tabs>
        <w:tab w:val="left" w:pos="1701"/>
      </w:tabs>
      <w:spacing w:before="60" w:after="60"/>
      <w:ind w:left="1701" w:hanging="340"/>
    </w:pPr>
  </w:style>
  <w:style w:type="paragraph" w:styleId="ListBullet3">
    <w:name w:val="List Bullet 3"/>
    <w:basedOn w:val="List3"/>
    <w:rsid w:val="00B11B27"/>
    <w:pPr>
      <w:numPr>
        <w:numId w:val="13"/>
      </w:numPr>
      <w:tabs>
        <w:tab w:val="clear" w:pos="1021"/>
      </w:tabs>
      <w:ind w:left="1037" w:hanging="357"/>
    </w:pPr>
  </w:style>
  <w:style w:type="paragraph" w:styleId="ListBullet4">
    <w:name w:val="List Bullet 4"/>
    <w:basedOn w:val="List4"/>
    <w:rsid w:val="00B11B27"/>
    <w:pPr>
      <w:numPr>
        <w:numId w:val="2"/>
      </w:numPr>
      <w:tabs>
        <w:tab w:val="clear" w:pos="1361"/>
      </w:tabs>
    </w:pPr>
  </w:style>
  <w:style w:type="paragraph" w:styleId="ListBullet5">
    <w:name w:val="List Bullet 5"/>
    <w:basedOn w:val="List5"/>
    <w:rsid w:val="00B11B27"/>
    <w:pPr>
      <w:numPr>
        <w:numId w:val="3"/>
      </w:numPr>
    </w:pPr>
  </w:style>
  <w:style w:type="paragraph" w:styleId="ListContinue2">
    <w:name w:val="List Continue 2"/>
    <w:basedOn w:val="List2"/>
    <w:rsid w:val="00B11B27"/>
    <w:pPr>
      <w:ind w:firstLine="0"/>
    </w:pPr>
  </w:style>
  <w:style w:type="paragraph" w:styleId="ListContinue3">
    <w:name w:val="List Continue 3"/>
    <w:basedOn w:val="List3"/>
    <w:rsid w:val="00B11B27"/>
    <w:pPr>
      <w:ind w:left="1021" w:firstLine="0"/>
    </w:pPr>
  </w:style>
  <w:style w:type="paragraph" w:styleId="ListContinue4">
    <w:name w:val="List Continue 4"/>
    <w:basedOn w:val="List4"/>
    <w:rsid w:val="00B11B27"/>
    <w:pPr>
      <w:ind w:firstLine="0"/>
    </w:pPr>
  </w:style>
  <w:style w:type="paragraph" w:styleId="ListContinue5">
    <w:name w:val="List Continue 5"/>
    <w:basedOn w:val="List5"/>
    <w:rsid w:val="00B11B27"/>
    <w:pPr>
      <w:ind w:firstLine="0"/>
    </w:pPr>
  </w:style>
  <w:style w:type="paragraph" w:styleId="ListNumber3">
    <w:name w:val="List Number 3"/>
    <w:basedOn w:val="List3"/>
    <w:rsid w:val="00B11B27"/>
    <w:pPr>
      <w:numPr>
        <w:numId w:val="4"/>
      </w:numPr>
    </w:pPr>
  </w:style>
  <w:style w:type="paragraph" w:styleId="ListNumber4">
    <w:name w:val="List Number 4"/>
    <w:basedOn w:val="List4"/>
    <w:rsid w:val="00B11B27"/>
    <w:pPr>
      <w:numPr>
        <w:numId w:val="5"/>
      </w:numPr>
    </w:pPr>
  </w:style>
  <w:style w:type="paragraph" w:styleId="ListNumber5">
    <w:name w:val="List Number 5"/>
    <w:basedOn w:val="List5"/>
    <w:rsid w:val="00B11B27"/>
    <w:pPr>
      <w:numPr>
        <w:numId w:val="6"/>
      </w:numPr>
    </w:pPr>
  </w:style>
  <w:style w:type="paragraph" w:styleId="BlockText">
    <w:name w:val="Block Text"/>
    <w:basedOn w:val="Normal"/>
    <w:rsid w:val="00B11B27"/>
    <w:pPr>
      <w:spacing w:after="120"/>
      <w:ind w:left="1440" w:right="1440"/>
    </w:pPr>
  </w:style>
  <w:style w:type="character" w:customStyle="1" w:styleId="Subscript">
    <w:name w:val="Subscript"/>
    <w:basedOn w:val="DefaultParagraphFont"/>
    <w:rsid w:val="00B11B27"/>
    <w:rPr>
      <w:sz w:val="16"/>
      <w:vertAlign w:val="subscript"/>
    </w:rPr>
  </w:style>
  <w:style w:type="character" w:customStyle="1" w:styleId="Superscript">
    <w:name w:val="Superscript"/>
    <w:basedOn w:val="DefaultParagraphFont"/>
    <w:rsid w:val="00B11B27"/>
    <w:rPr>
      <w:sz w:val="16"/>
      <w:vertAlign w:val="superscript"/>
    </w:rPr>
  </w:style>
  <w:style w:type="character" w:customStyle="1" w:styleId="Symbols">
    <w:name w:val="Symbols"/>
    <w:basedOn w:val="DefaultParagraphFont"/>
    <w:rsid w:val="00B11B27"/>
    <w:rPr>
      <w:rFonts w:ascii="Symbol" w:hAnsi="Symbol"/>
    </w:rPr>
  </w:style>
  <w:style w:type="character" w:customStyle="1" w:styleId="MenuOptions">
    <w:name w:val="Menu Options"/>
    <w:basedOn w:val="DefaultParagraphFont"/>
    <w:rsid w:val="00B11B27"/>
    <w:rPr>
      <w:rFonts w:ascii="Arial Narrow" w:hAnsi="Arial Narrow"/>
      <w:smallCaps/>
    </w:rPr>
  </w:style>
  <w:style w:type="character" w:customStyle="1" w:styleId="Buttons">
    <w:name w:val="Buttons"/>
    <w:basedOn w:val="DefaultParagraphFont"/>
    <w:rsid w:val="00B11B27"/>
    <w:rPr>
      <w:b/>
    </w:rPr>
  </w:style>
  <w:style w:type="character" w:customStyle="1" w:styleId="Underlined">
    <w:name w:val="Underlined"/>
    <w:basedOn w:val="DefaultParagraphFont"/>
    <w:rsid w:val="00B11B27"/>
    <w:rPr>
      <w:u w:val="single"/>
    </w:rPr>
  </w:style>
  <w:style w:type="paragraph" w:customStyle="1" w:styleId="TableBodyTextRight">
    <w:name w:val="Table Body Text Right"/>
    <w:basedOn w:val="TableBodyText"/>
    <w:rsid w:val="00B11B27"/>
    <w:pPr>
      <w:widowControl w:val="0"/>
      <w:autoSpaceDE w:val="0"/>
      <w:autoSpaceDN w:val="0"/>
      <w:adjustRightInd w:val="0"/>
      <w:jc w:val="right"/>
    </w:pPr>
    <w:rPr>
      <w:rFonts w:cs="Arial"/>
      <w:szCs w:val="18"/>
    </w:rPr>
  </w:style>
  <w:style w:type="paragraph" w:customStyle="1" w:styleId="CopyrightText">
    <w:name w:val="Copyright Text"/>
    <w:basedOn w:val="BodyText"/>
    <w:rsid w:val="00B11B27"/>
    <w:rPr>
      <w:sz w:val="18"/>
    </w:rPr>
  </w:style>
  <w:style w:type="paragraph" w:customStyle="1" w:styleId="BodySmallRight">
    <w:name w:val="Body Small Right"/>
    <w:basedOn w:val="BodyTextRight"/>
    <w:rsid w:val="00B11B27"/>
    <w:rPr>
      <w:sz w:val="18"/>
      <w:szCs w:val="18"/>
    </w:rPr>
  </w:style>
  <w:style w:type="paragraph" w:customStyle="1" w:styleId="MarginEdition">
    <w:name w:val="Margin Edition"/>
    <w:basedOn w:val="MarginNote"/>
    <w:rsid w:val="00B11B27"/>
    <w:pPr>
      <w:spacing w:before="0" w:after="0"/>
    </w:pPr>
    <w:rPr>
      <w:rFonts w:ascii="Times New Roman" w:hAnsi="Times New Roman"/>
      <w:color w:val="999999"/>
    </w:rPr>
  </w:style>
  <w:style w:type="paragraph" w:customStyle="1" w:styleId="Spacer">
    <w:name w:val="Spacer"/>
    <w:basedOn w:val="Normal"/>
    <w:rsid w:val="00B11B27"/>
    <w:rPr>
      <w:sz w:val="2"/>
      <w:szCs w:val="2"/>
    </w:rPr>
  </w:style>
  <w:style w:type="character" w:customStyle="1" w:styleId="Small">
    <w:name w:val="Small"/>
    <w:basedOn w:val="DefaultParagraphFont"/>
    <w:rsid w:val="00B11B27"/>
    <w:rPr>
      <w:sz w:val="16"/>
    </w:rPr>
  </w:style>
  <w:style w:type="paragraph" w:customStyle="1" w:styleId="WideTable">
    <w:name w:val="Wide Table"/>
    <w:basedOn w:val="Normal"/>
    <w:rsid w:val="00B11B27"/>
    <w:pPr>
      <w:ind w:left="-1418"/>
    </w:pPr>
    <w:rPr>
      <w:sz w:val="2"/>
      <w:szCs w:val="2"/>
    </w:rPr>
  </w:style>
  <w:style w:type="character" w:styleId="PageNumber">
    <w:name w:val="page number"/>
    <w:basedOn w:val="DefaultParagraphFont"/>
    <w:rsid w:val="00B11B27"/>
  </w:style>
  <w:style w:type="paragraph" w:styleId="Quote">
    <w:name w:val="Quote"/>
    <w:basedOn w:val="Heading1"/>
    <w:link w:val="QuoteChar"/>
    <w:qFormat/>
    <w:rsid w:val="00B11B27"/>
    <w:rPr>
      <w:b w:val="0"/>
      <w:sz w:val="72"/>
      <w:szCs w:val="72"/>
      <w:lang w:val="en-NZ"/>
    </w:rPr>
  </w:style>
  <w:style w:type="character" w:customStyle="1" w:styleId="QuoteChar">
    <w:name w:val="Quote Char"/>
    <w:basedOn w:val="DefaultParagraphFont"/>
    <w:link w:val="Quote"/>
    <w:rsid w:val="00B11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B27"/>
    <w:pPr>
      <w:pageBreakBefore/>
    </w:pPr>
  </w:style>
  <w:style w:type="paragraph" w:customStyle="1" w:styleId="Border">
    <w:name w:val="Border"/>
    <w:basedOn w:val="Normal"/>
    <w:qFormat/>
    <w:rsid w:val="00B11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B27"/>
    <w:rPr>
      <w:b/>
      <w:bCs/>
      <w:i/>
      <w:iCs/>
      <w:color w:val="auto"/>
    </w:rPr>
  </w:style>
  <w:style w:type="paragraph" w:styleId="IntenseQuote">
    <w:name w:val="Intense Quote"/>
    <w:basedOn w:val="Normal"/>
    <w:next w:val="Normal"/>
    <w:link w:val="IntenseQuoteChar"/>
    <w:uiPriority w:val="30"/>
    <w:qFormat/>
    <w:rsid w:val="00B11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B27"/>
    <w:rPr>
      <w:smallCaps/>
      <w:color w:val="auto"/>
      <w:u w:val="single"/>
    </w:rPr>
  </w:style>
  <w:style w:type="character" w:styleId="IntenseReference">
    <w:name w:val="Intense Reference"/>
    <w:basedOn w:val="DefaultParagraphFont"/>
    <w:uiPriority w:val="32"/>
    <w:qFormat/>
    <w:rsid w:val="00B11B27"/>
    <w:rPr>
      <w:b/>
      <w:bCs/>
      <w:smallCaps/>
      <w:color w:val="auto"/>
      <w:spacing w:val="5"/>
      <w:u w:val="single"/>
    </w:rPr>
  </w:style>
  <w:style w:type="paragraph" w:customStyle="1" w:styleId="2ColumnHeading">
    <w:name w:val="2Column Heading"/>
    <w:basedOn w:val="BodyText"/>
    <w:qFormat/>
    <w:rsid w:val="00B11B27"/>
    <w:pPr>
      <w:spacing w:after="60"/>
      <w:ind w:left="-2268"/>
    </w:pPr>
    <w:rPr>
      <w:b/>
    </w:rPr>
  </w:style>
  <w:style w:type="paragraph" w:customStyle="1" w:styleId="Heading1TOC">
    <w:name w:val="Heading1 TOC"/>
    <w:basedOn w:val="Normal"/>
    <w:qFormat/>
    <w:rsid w:val="00B11B27"/>
    <w:pPr>
      <w:spacing w:before="240" w:after="120"/>
    </w:pPr>
    <w:rPr>
      <w:rFonts w:ascii="Times New Roman" w:hAnsi="Times New Roman"/>
      <w:b/>
      <w:sz w:val="32"/>
    </w:rPr>
  </w:style>
  <w:style w:type="paragraph" w:customStyle="1" w:styleId="Heading2TOC">
    <w:name w:val="Heading2 TOC"/>
    <w:basedOn w:val="Normal"/>
    <w:qFormat/>
    <w:rsid w:val="00B11B27"/>
    <w:pPr>
      <w:spacing w:before="240" w:after="60"/>
    </w:pPr>
    <w:rPr>
      <w:rFonts w:ascii="Times New Roman" w:hAnsi="Times New Roman"/>
      <w:b/>
      <w:sz w:val="28"/>
    </w:rPr>
  </w:style>
  <w:style w:type="character" w:customStyle="1" w:styleId="Underline">
    <w:name w:val="Underline"/>
    <w:basedOn w:val="DefaultParagraphFont"/>
    <w:qFormat/>
    <w:rsid w:val="00B11B27"/>
    <w:rPr>
      <w:u w:val="single"/>
    </w:rPr>
  </w:style>
  <w:style w:type="character" w:customStyle="1" w:styleId="BoldandItalics">
    <w:name w:val="Bold and Italics"/>
    <w:qFormat/>
    <w:rsid w:val="00B11B27"/>
    <w:rPr>
      <w:b/>
      <w:i/>
      <w:u w:val="none"/>
    </w:rPr>
  </w:style>
  <w:style w:type="paragraph" w:styleId="BalloonText">
    <w:name w:val="Balloon Text"/>
    <w:basedOn w:val="Normal"/>
    <w:link w:val="BalloonTextChar"/>
    <w:rsid w:val="00B11B27"/>
    <w:rPr>
      <w:rFonts w:ascii="Tahoma" w:hAnsi="Tahoma" w:cs="Tahoma"/>
      <w:sz w:val="16"/>
      <w:szCs w:val="16"/>
    </w:rPr>
  </w:style>
  <w:style w:type="character" w:customStyle="1" w:styleId="BalloonTextChar">
    <w:name w:val="Balloon Text Char"/>
    <w:basedOn w:val="DefaultParagraphFont"/>
    <w:link w:val="BalloonText"/>
    <w:rsid w:val="00B11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B27"/>
    <w:rPr>
      <w:b/>
      <w:color w:val="660033"/>
      <w:spacing w:val="0"/>
    </w:rPr>
  </w:style>
  <w:style w:type="paragraph" w:customStyle="1" w:styleId="Nameditemlist">
    <w:name w:val="Named item list"/>
    <w:basedOn w:val="BodyText"/>
    <w:qFormat/>
    <w:rsid w:val="00B11B27"/>
    <w:pPr>
      <w:tabs>
        <w:tab w:val="left" w:pos="2835"/>
      </w:tabs>
      <w:ind w:left="2835" w:hanging="2835"/>
    </w:pPr>
  </w:style>
  <w:style w:type="paragraph" w:customStyle="1" w:styleId="BodyTextnopadding">
    <w:name w:val="Body Text no padding"/>
    <w:basedOn w:val="BodyText"/>
    <w:qFormat/>
    <w:rsid w:val="00B11B27"/>
    <w:pPr>
      <w:spacing w:before="0" w:after="0"/>
    </w:pPr>
  </w:style>
  <w:style w:type="paragraph" w:customStyle="1" w:styleId="BodyTextBold">
    <w:name w:val="Body Text Bold"/>
    <w:basedOn w:val="BodyText"/>
    <w:qFormat/>
    <w:rsid w:val="00B11B27"/>
    <w:rPr>
      <w:b/>
    </w:rPr>
  </w:style>
  <w:style w:type="character" w:styleId="Hyperlink">
    <w:name w:val="Hyperlink"/>
    <w:basedOn w:val="DefaultParagraphFont"/>
    <w:uiPriority w:val="99"/>
    <w:unhideWhenUsed/>
    <w:rsid w:val="00B75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868</Words>
  <Characters>5427</Characters>
  <Application>Microsoft Office Word</Application>
  <DocSecurity>0</DocSecurity>
  <Lines>201</Lines>
  <Paragraphs>128</Paragraphs>
  <ScaleCrop>false</ScaleCrop>
  <Company>Author-it Software Corporation Ltd.</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TLIB2122 Apply awareness of fundamentals of rail operations in yards or sidings</dc:title>
  <dc:subject>Approved</dc:subject>
  <dc:creator>Industry Skills Australia</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