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20D" w:rsidP="00483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TLIB2121 Maintain rail joints</w:t>
      </w:r>
      <w:r>
        <w:fldChar w:fldCharType="end"/>
      </w:r>
    </w:p>
    <w:p w:rsidR="0048320D" w:rsidP="0048320D">
      <w:pPr>
        <w:pStyle w:val="Version"/>
        <w:sectPr w:rsidSect="00302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2B8C" w:rsidP="00302B8C">
      <w:pPr>
        <w:pStyle w:val="SuperHeading"/>
      </w:pPr>
      <w:r w:rsidRPr="00302B8C">
        <w:t>TLIB2121 Maintain rail joints</w:t>
      </w:r>
    </w:p>
    <w:p w:rsidR="00000000" w:rsidRPr="00302B8C" w:rsidP="00302B8C">
      <w:pPr>
        <w:pStyle w:val="Heading1"/>
      </w:pPr>
      <w:bookmarkStart w:id="1" w:name="O_1118462"/>
      <w:bookmarkEnd w:id="1"/>
      <w:r w:rsidRPr="00302B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Release 2</w:t>
            </w:r>
            <w:r w:rsidRPr="00302B8C">
              <w:t>. This is the second release of this unit of competency in the TLI Transport and Logistics Training Package:</w:t>
            </w:r>
          </w:p>
          <w:p w:rsidR="00000000" w:rsidRPr="00302B8C" w:rsidP="00302B8C">
            <w:pPr>
              <w:pStyle w:val="ListBullet"/>
            </w:pPr>
            <w:r w:rsidRPr="00302B8C">
              <w:t>Minor statement changes in Performance Evidence</w:t>
            </w:r>
          </w:p>
          <w:p w:rsidR="00000000" w:rsidRPr="00302B8C" w:rsidP="00302B8C">
            <w:pPr>
              <w:pStyle w:val="ListBullet"/>
            </w:pPr>
            <w:r w:rsidRPr="00302B8C">
              <w:t>Minor statement changes in Knowledge Evidence</w:t>
            </w:r>
          </w:p>
          <w:p w:rsidR="00000000" w:rsidP="00302B8C">
            <w:pPr>
              <w:pStyle w:val="ListBullet"/>
              <w:rPr>
                <w:lang w:val="en-NZ"/>
              </w:rPr>
            </w:pPr>
            <w:r w:rsidRPr="00302B8C">
              <w:t>Minor statement change</w:t>
            </w:r>
            <w:r w:rsidRPr="00302B8C">
              <w:t>s in Assessment Conditions.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Release 1</w:t>
            </w:r>
            <w:r w:rsidRPr="00302B8C">
              <w:t>. This is the first release of this unit of competency in the TLI Transport and Logistics Training Package.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2" w:name="O_1118461"/>
      <w:bookmarkEnd w:id="2"/>
      <w:r w:rsidRPr="00302B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 xml:space="preserve">This unit involves the skills and knowledge required to maintain rail joints </w:t>
            </w:r>
            <w:r w:rsidRPr="00302B8C">
              <w:t>in accordance with rail industry standards, safeworking and regulatory requirements, and workplace procedures.</w:t>
            </w:r>
          </w:p>
          <w:p w:rsidR="00000000" w:rsidRPr="00302B8C" w:rsidP="00302B8C">
            <w:pPr>
              <w:pStyle w:val="BodyText"/>
            </w:pPr>
            <w:r w:rsidRPr="00302B8C">
              <w:t>It includes identifying and determining parameters or components that require repair, cutting and boring rail, maintaining rail joints and comple</w:t>
            </w:r>
            <w:r w:rsidRPr="00302B8C">
              <w:t>ting required documentation.</w:t>
            </w:r>
          </w:p>
          <w:p w:rsidR="00000000" w:rsidRPr="00302B8C" w:rsidP="00302B8C">
            <w:pPr>
              <w:pStyle w:val="BodyText"/>
            </w:pPr>
            <w:r w:rsidRPr="00302B8C">
              <w:t>People achieving competence in this unit will need to fulfil applicable state/territory legislated rail safety requirements and to comply with relevant codes of practice and/or guidelines.</w:t>
            </w:r>
          </w:p>
          <w:p w:rsidR="00000000" w:rsidRPr="00302B8C" w:rsidP="00302B8C">
            <w:pPr>
              <w:pStyle w:val="BodyText"/>
            </w:pPr>
            <w:r w:rsidRPr="00302B8C">
              <w:t>Work is performed under minimal supervision, generally in a team environment. It involves the application of routine operational principles and procedures when maintaining rail joints, as part of workplace activities across a variety of operational context</w:t>
            </w:r>
            <w:r w:rsidRPr="00302B8C">
              <w:t>s within the Australian rail system.</w:t>
            </w:r>
          </w:p>
          <w:p w:rsidR="00000000" w:rsidRPr="00302B8C" w:rsidP="00302B8C">
            <w:pPr>
              <w:pStyle w:val="BodyText"/>
            </w:pPr>
            <w:r w:rsidRPr="00302B8C">
              <w:t>Operators of mechanised equipment must have undertaken training and, where appropriate, hold the relevant licence, permit or certificate and be recognised as competent for the class of machinery being used.</w:t>
            </w:r>
          </w:p>
          <w:p w:rsidR="00000000" w:rsidRPr="00302B8C" w:rsidP="00302B8C">
            <w:pPr>
              <w:pStyle w:val="BodyText"/>
            </w:pPr>
            <w:r w:rsidRPr="00302B8C">
              <w:t>No licensing</w:t>
            </w:r>
            <w:r w:rsidRPr="00302B8C">
              <w:t>, legislative or certification requirements apply to this unit at the time of publication.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3" w:name="O_1118460"/>
      <w:bookmarkEnd w:id="3"/>
      <w:r w:rsidRPr="00302B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Not applicable.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4" w:name="O_1118459"/>
      <w:bookmarkEnd w:id="4"/>
      <w:r w:rsidRPr="00302B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B – Equipment Checking and Maintenance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5" w:name="O_1118458"/>
      <w:bookmarkEnd w:id="5"/>
      <w:r w:rsidRPr="00302B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Rail sector.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6" w:name="O_1118457"/>
      <w:bookmarkEnd w:id="6"/>
      <w:r w:rsidRPr="00302B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PERFORMANCE CRITERIA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Performance criteria describe the performance needed to demonstrate achievement of the element.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Determine parameters or components that require adjustment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Rail joint condition, component, fastening and anchoring defects affecting rail joints are identified in accordance with organisational procedures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Hazards are identified, risks are assessed and control measures are implemented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Appropriate repair method is selected to ensure rail joint meets specifications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Scope of work is determined and resources are arranged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 xml:space="preserve">Check and maintain rail </w:t>
            </w:r>
            <w:r w:rsidRPr="00302B8C">
              <w:rPr>
                <w:rStyle w:val="SpecialBold"/>
              </w:rPr>
              <w:t>joint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Surfaces and component parts are checked in accordance with specifications and organisational procedures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Rail joint is maintained to specifications in accordance with organisational procedures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Required documentation procedures and processes are confirmed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t>Documentation is filled in legibly and proofread</w:t>
            </w:r>
          </w:p>
        </w:tc>
      </w:tr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8C">
            <w:pPr>
              <w:pStyle w:val="BodyText"/>
              <w:rPr>
                <w:lang w:val="en-NZ"/>
              </w:rPr>
            </w:pPr>
            <w:r w:rsidRPr="00302B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Documentation is processed in accordance with workplace procedures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7" w:name="O_1118456"/>
      <w:bookmarkEnd w:id="7"/>
      <w:r w:rsidRPr="00302B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Foundation skills essential to performance are explicit in the performance criteria of this unit of competency.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8" w:name="O_1118455"/>
      <w:bookmarkEnd w:id="8"/>
      <w:r w:rsidRPr="00302B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Range is restricted to essential operating conditions and any other variables essential to the work environment.</w:t>
            </w:r>
          </w:p>
          <w:p w:rsidR="00000000" w:rsidRPr="00302B8C" w:rsidP="00302B8C">
            <w:pPr>
              <w:pStyle w:val="BodyText"/>
            </w:pPr>
            <w:r w:rsidRPr="00302B8C">
              <w:t>Non-essential conditions can be found in the TLI Transport and Logistics Training Package Companion Volume Implementation Guide.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9" w:name="O_1118454"/>
      <w:bookmarkEnd w:id="9"/>
      <w:r w:rsidRPr="00302B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8C" w:rsidP="00302B8C">
            <w:pPr>
              <w:pStyle w:val="BodyText"/>
            </w:pPr>
            <w:r w:rsidRPr="00302B8C">
              <w:t>This unit replaces and is equivalent to TLIB2121B Maintain rail joints.</w:t>
            </w:r>
          </w:p>
        </w:tc>
      </w:tr>
    </w:tbl>
    <w:p w:rsidR="00000000" w:rsidRPr="00302B8C" w:rsidP="00302B8C">
      <w:pPr>
        <w:pStyle w:val="NoPaddingFontSize1"/>
      </w:pPr>
    </w:p>
    <w:p w:rsidR="00000000" w:rsidRPr="00302B8C" w:rsidP="00302B8C">
      <w:pPr>
        <w:pStyle w:val="AllowPageBreak"/>
      </w:pPr>
    </w:p>
    <w:p w:rsidR="00000000" w:rsidRPr="00302B8C" w:rsidP="00302B8C">
      <w:pPr>
        <w:pStyle w:val="Heading1"/>
      </w:pPr>
      <w:bookmarkStart w:id="10" w:name="O_1118463"/>
      <w:bookmarkEnd w:id="10"/>
      <w:r w:rsidRPr="00302B8C">
        <w:t>Links</w:t>
      </w:r>
    </w:p>
    <w:p w:rsidR="00000000" w:rsidRPr="00302B8C" w:rsidP="0048320D">
      <w:pPr>
        <w:pStyle w:val="BodyText"/>
      </w:pPr>
      <w:r w:rsidRPr="00302B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4B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2B8C" w:rsidP="00302B8C"/>
    <w:sectPr w:rsidSect="00302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8C" w:rsidRPr="0048320D" w:rsidP="00483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0D" w:rsidP="00302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20D" w:rsidP="00302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8320D" w:rsidP="00302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B8C" w:rsidRPr="0048320D" w:rsidP="00483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0D" w:rsidRPr="002D2AF8" w:rsidP="00302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TLIB2121 Maintain rail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8320D" w:rsidP="00302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A7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82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B8C"/>
  </w:style>
  <w:style w:type="character" w:customStyle="1" w:styleId="Heading1Char">
    <w:name w:val="Heading 1 Char"/>
    <w:basedOn w:val="DefaultParagraphFont"/>
    <w:link w:val="Heading1"/>
    <w:rsid w:val="00302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B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B8C"/>
    <w:rPr>
      <w:b/>
      <w:spacing w:val="0"/>
    </w:rPr>
  </w:style>
  <w:style w:type="paragraph" w:customStyle="1" w:styleId="SuperHeading">
    <w:name w:val="SuperHeading"/>
    <w:basedOn w:val="Normal"/>
    <w:rsid w:val="00302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2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B8C"/>
    <w:rPr>
      <w:i/>
    </w:rPr>
  </w:style>
  <w:style w:type="paragraph" w:styleId="Caption">
    <w:name w:val="caption"/>
    <w:basedOn w:val="BodyText"/>
    <w:next w:val="Normal"/>
    <w:qFormat/>
    <w:rsid w:val="00302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B8C"/>
  </w:style>
  <w:style w:type="paragraph" w:styleId="TableofFigures">
    <w:name w:val="table of figures"/>
    <w:basedOn w:val="Normal"/>
    <w:next w:val="Normal"/>
    <w:semiHidden/>
    <w:rsid w:val="00302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B8C"/>
    <w:rPr>
      <w:rFonts w:ascii="Wingdings" w:hAnsi="Wingdings"/>
    </w:rPr>
  </w:style>
  <w:style w:type="paragraph" w:customStyle="1" w:styleId="TableHeading">
    <w:name w:val="Table Heading"/>
    <w:basedOn w:val="HeadingBase"/>
    <w:rsid w:val="00302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B8C"/>
    <w:rPr>
      <w:color w:val="0033CC"/>
      <w:u w:val="none"/>
    </w:rPr>
  </w:style>
  <w:style w:type="paragraph" w:customStyle="1" w:styleId="BodyTextRight">
    <w:name w:val="Body Text Right"/>
    <w:basedOn w:val="BodyText"/>
    <w:rsid w:val="00302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B8C"/>
    <w:rPr>
      <w:sz w:val="32"/>
    </w:rPr>
  </w:style>
  <w:style w:type="paragraph" w:customStyle="1" w:styleId="HeadingProcedure">
    <w:name w:val="Heading Procedure"/>
    <w:basedOn w:val="HeadingBase"/>
    <w:next w:val="Normal"/>
    <w:rsid w:val="00302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B8C"/>
    <w:pPr>
      <w:spacing w:before="60" w:after="60"/>
    </w:pPr>
  </w:style>
  <w:style w:type="paragraph" w:styleId="ListContinue">
    <w:name w:val="List Continue"/>
    <w:basedOn w:val="List"/>
    <w:rsid w:val="00302B8C"/>
    <w:pPr>
      <w:ind w:firstLine="0"/>
    </w:pPr>
  </w:style>
  <w:style w:type="paragraph" w:customStyle="1" w:styleId="ListNote">
    <w:name w:val="List Note"/>
    <w:basedOn w:val="List"/>
    <w:rsid w:val="00302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B8C"/>
    <w:rPr>
      <w:rFonts w:ascii="Courier New" w:hAnsi="Courier New"/>
    </w:rPr>
  </w:style>
  <w:style w:type="paragraph" w:customStyle="1" w:styleId="NoteBullet">
    <w:name w:val="Note Bullet"/>
    <w:basedOn w:val="Note"/>
    <w:rsid w:val="00302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B8C"/>
    <w:rPr>
      <w:b/>
      <w:smallCaps/>
    </w:rPr>
  </w:style>
  <w:style w:type="paragraph" w:customStyle="1" w:styleId="TableListNumber">
    <w:name w:val="Table List Number"/>
    <w:basedOn w:val="ListNumber"/>
    <w:rsid w:val="00302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B8C"/>
    <w:pPr>
      <w:numPr>
        <w:numId w:val="8"/>
      </w:numPr>
    </w:pPr>
  </w:style>
  <w:style w:type="paragraph" w:customStyle="1" w:styleId="ListAlpha2">
    <w:name w:val="List Alpha 2"/>
    <w:basedOn w:val="List2"/>
    <w:rsid w:val="00302B8C"/>
    <w:pPr>
      <w:numPr>
        <w:numId w:val="7"/>
      </w:numPr>
    </w:pPr>
  </w:style>
  <w:style w:type="paragraph" w:styleId="List2">
    <w:name w:val="List 2"/>
    <w:basedOn w:val="BodyText"/>
    <w:rsid w:val="00302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B8C"/>
    <w:pPr>
      <w:numPr>
        <w:numId w:val="3"/>
      </w:numPr>
    </w:pPr>
  </w:style>
  <w:style w:type="paragraph" w:styleId="ListContinue2">
    <w:name w:val="List Continue 2"/>
    <w:basedOn w:val="List2"/>
    <w:rsid w:val="00302B8C"/>
    <w:pPr>
      <w:ind w:firstLine="0"/>
    </w:pPr>
  </w:style>
  <w:style w:type="paragraph" w:styleId="ListContinue3">
    <w:name w:val="List Continue 3"/>
    <w:basedOn w:val="List3"/>
    <w:rsid w:val="00302B8C"/>
    <w:pPr>
      <w:ind w:left="1021" w:firstLine="0"/>
    </w:pPr>
  </w:style>
  <w:style w:type="paragraph" w:styleId="ListContinue4">
    <w:name w:val="List Continue 4"/>
    <w:basedOn w:val="List4"/>
    <w:rsid w:val="00302B8C"/>
    <w:pPr>
      <w:ind w:firstLine="0"/>
    </w:pPr>
  </w:style>
  <w:style w:type="paragraph" w:styleId="ListContinue5">
    <w:name w:val="List Continue 5"/>
    <w:basedOn w:val="List5"/>
    <w:rsid w:val="00302B8C"/>
    <w:pPr>
      <w:ind w:firstLine="0"/>
    </w:pPr>
  </w:style>
  <w:style w:type="paragraph" w:styleId="ListNumber3">
    <w:name w:val="List Number 3"/>
    <w:basedOn w:val="List3"/>
    <w:rsid w:val="00302B8C"/>
    <w:pPr>
      <w:numPr>
        <w:numId w:val="4"/>
      </w:numPr>
    </w:pPr>
  </w:style>
  <w:style w:type="paragraph" w:styleId="ListNumber4">
    <w:name w:val="List Number 4"/>
    <w:basedOn w:val="List4"/>
    <w:rsid w:val="00302B8C"/>
    <w:pPr>
      <w:numPr>
        <w:numId w:val="5"/>
      </w:numPr>
    </w:pPr>
  </w:style>
  <w:style w:type="paragraph" w:styleId="ListNumber5">
    <w:name w:val="List Number 5"/>
    <w:basedOn w:val="List5"/>
    <w:rsid w:val="00302B8C"/>
    <w:pPr>
      <w:numPr>
        <w:numId w:val="6"/>
      </w:numPr>
    </w:pPr>
  </w:style>
  <w:style w:type="paragraph" w:styleId="BlockText">
    <w:name w:val="Block Text"/>
    <w:basedOn w:val="Normal"/>
    <w:rsid w:val="00302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B8C"/>
    <w:rPr>
      <w:sz w:val="16"/>
      <w:vertAlign w:val="superscript"/>
    </w:rPr>
  </w:style>
  <w:style w:type="character" w:customStyle="1" w:styleId="Symbols">
    <w:name w:val="Symbols"/>
    <w:basedOn w:val="DefaultParagraphFont"/>
    <w:rsid w:val="00302B8C"/>
    <w:rPr>
      <w:rFonts w:ascii="Symbol" w:hAnsi="Symbol"/>
    </w:rPr>
  </w:style>
  <w:style w:type="character" w:customStyle="1" w:styleId="MenuOptions">
    <w:name w:val="Menu Options"/>
    <w:basedOn w:val="DefaultParagraphFont"/>
    <w:rsid w:val="00302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B8C"/>
    <w:rPr>
      <w:b/>
    </w:rPr>
  </w:style>
  <w:style w:type="character" w:customStyle="1" w:styleId="Underlined">
    <w:name w:val="Underlined"/>
    <w:basedOn w:val="DefaultParagraphFont"/>
    <w:rsid w:val="00302B8C"/>
    <w:rPr>
      <w:u w:val="single"/>
    </w:rPr>
  </w:style>
  <w:style w:type="paragraph" w:customStyle="1" w:styleId="TableBodyTextRight">
    <w:name w:val="Table Body Text Right"/>
    <w:basedOn w:val="TableBodyText"/>
    <w:rsid w:val="00302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B8C"/>
    <w:rPr>
      <w:sz w:val="18"/>
    </w:rPr>
  </w:style>
  <w:style w:type="paragraph" w:customStyle="1" w:styleId="BodySmallRight">
    <w:name w:val="Body Small Right"/>
    <w:basedOn w:val="BodyTextRight"/>
    <w:rsid w:val="00302B8C"/>
    <w:rPr>
      <w:sz w:val="18"/>
      <w:szCs w:val="18"/>
    </w:rPr>
  </w:style>
  <w:style w:type="paragraph" w:customStyle="1" w:styleId="MarginEdition">
    <w:name w:val="Margin Edition"/>
    <w:basedOn w:val="MarginNote"/>
    <w:rsid w:val="00302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B8C"/>
    <w:rPr>
      <w:sz w:val="2"/>
      <w:szCs w:val="2"/>
    </w:rPr>
  </w:style>
  <w:style w:type="character" w:customStyle="1" w:styleId="Small">
    <w:name w:val="Small"/>
    <w:basedOn w:val="DefaultParagraphFont"/>
    <w:rsid w:val="00302B8C"/>
    <w:rPr>
      <w:sz w:val="16"/>
    </w:rPr>
  </w:style>
  <w:style w:type="paragraph" w:customStyle="1" w:styleId="WideTable">
    <w:name w:val="Wide Table"/>
    <w:basedOn w:val="Normal"/>
    <w:rsid w:val="00302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B8C"/>
  </w:style>
  <w:style w:type="paragraph" w:styleId="Quote">
    <w:name w:val="Quote"/>
    <w:basedOn w:val="Heading1"/>
    <w:link w:val="QuoteChar"/>
    <w:qFormat/>
    <w:rsid w:val="00302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B8C"/>
    <w:pPr>
      <w:pageBreakBefore/>
    </w:pPr>
  </w:style>
  <w:style w:type="paragraph" w:customStyle="1" w:styleId="Border">
    <w:name w:val="Border"/>
    <w:basedOn w:val="Normal"/>
    <w:qFormat/>
    <w:rsid w:val="00302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B8C"/>
    <w:rPr>
      <w:u w:val="single"/>
    </w:rPr>
  </w:style>
  <w:style w:type="character" w:customStyle="1" w:styleId="BoldandItalics">
    <w:name w:val="Bold and Italics"/>
    <w:qFormat/>
    <w:rsid w:val="00302B8C"/>
    <w:rPr>
      <w:b/>
      <w:i/>
      <w:u w:val="none"/>
    </w:rPr>
  </w:style>
  <w:style w:type="paragraph" w:styleId="BalloonText">
    <w:name w:val="Balloon Text"/>
    <w:basedOn w:val="Normal"/>
    <w:link w:val="BalloonTextChar"/>
    <w:rsid w:val="003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B8C"/>
    <w:pPr>
      <w:spacing w:before="0" w:after="0"/>
    </w:pPr>
  </w:style>
  <w:style w:type="paragraph" w:customStyle="1" w:styleId="BodyTextBold">
    <w:name w:val="Body Text Bold"/>
    <w:basedOn w:val="BodyText"/>
    <w:qFormat/>
    <w:rsid w:val="00302B8C"/>
    <w:rPr>
      <w:b/>
    </w:rPr>
  </w:style>
  <w:style w:type="character" w:styleId="Hyperlink">
    <w:name w:val="Hyperlink"/>
    <w:basedOn w:val="DefaultParagraphFont"/>
    <w:uiPriority w:val="99"/>
    <w:unhideWhenUsed/>
    <w:rsid w:val="00483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3207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TLIB2121 Maintain rail joints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