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1087D" w:rsidP="0001087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TLIB2097 Install and maintain guard rails</w:t>
      </w:r>
      <w:r>
        <w:fldChar w:fldCharType="end"/>
      </w:r>
    </w:p>
    <w:p w:rsidR="0001087D" w:rsidP="0001087D">
      <w:pPr>
        <w:pStyle w:val="Version"/>
        <w:sectPr w:rsidSect="00BF2AC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BF2AC7" w:rsidP="00BF2AC7">
      <w:pPr>
        <w:pStyle w:val="SuperHeading"/>
      </w:pPr>
      <w:r w:rsidRPr="00BF2AC7">
        <w:t>TLIB2097 Install and maintain guard rails</w:t>
      </w:r>
    </w:p>
    <w:p w:rsidR="00000000" w:rsidRPr="00BF2AC7" w:rsidP="00BF2AC7">
      <w:pPr>
        <w:pStyle w:val="Heading1"/>
      </w:pPr>
      <w:bookmarkStart w:id="1" w:name="O_1118444"/>
      <w:bookmarkEnd w:id="1"/>
      <w:r w:rsidRPr="00BF2AC7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F2AC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2AC7" w:rsidP="00BF2AC7">
            <w:pPr>
              <w:pStyle w:val="BodyText"/>
            </w:pPr>
            <w:r w:rsidRPr="00BF2AC7">
              <w:rPr>
                <w:rStyle w:val="SpecialBold"/>
              </w:rPr>
              <w:t>Release 2</w:t>
            </w:r>
            <w:r w:rsidRPr="00BF2AC7">
              <w:t>. This is the second release of this unit of competency in the TLI Transport and Logistics Training Package:</w:t>
            </w:r>
          </w:p>
          <w:p w:rsidR="00000000" w:rsidRPr="00BF2AC7" w:rsidP="00BF2AC7">
            <w:pPr>
              <w:pStyle w:val="ListBullet"/>
            </w:pPr>
            <w:r w:rsidRPr="00BF2AC7">
              <w:t xml:space="preserve">Minor statement changes in Performance Evidence </w:t>
            </w:r>
          </w:p>
          <w:p w:rsidR="00000000" w:rsidP="00BF2AC7">
            <w:pPr>
              <w:pStyle w:val="ListBullet"/>
              <w:rPr>
                <w:lang w:val="en-NZ"/>
              </w:rPr>
            </w:pPr>
            <w:r w:rsidRPr="00BF2AC7">
              <w:t>Minor statement changes in Assessment Conditions.</w:t>
            </w:r>
          </w:p>
        </w:tc>
      </w:tr>
      <w:tr w:rsidTr="00BF2AC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2AC7" w:rsidP="00BF2AC7">
            <w:pPr>
              <w:pStyle w:val="BodyText"/>
            </w:pPr>
            <w:r w:rsidRPr="00BF2AC7">
              <w:rPr>
                <w:rStyle w:val="SpecialBold"/>
              </w:rPr>
              <w:t>Release 1</w:t>
            </w:r>
            <w:r w:rsidRPr="00BF2AC7">
              <w:t xml:space="preserve">. This </w:t>
            </w:r>
            <w:r w:rsidRPr="00BF2AC7">
              <w:t>is the first release of this unit of competency in the TLI Transport and Logistics Training Package.</w:t>
            </w:r>
          </w:p>
        </w:tc>
      </w:tr>
    </w:tbl>
    <w:p w:rsidR="00000000" w:rsidRPr="00BF2AC7" w:rsidP="00BF2AC7">
      <w:pPr>
        <w:pStyle w:val="NoPaddingFontSize1"/>
      </w:pPr>
    </w:p>
    <w:p w:rsidR="00000000" w:rsidRPr="00BF2AC7" w:rsidP="00BF2AC7">
      <w:pPr>
        <w:pStyle w:val="AllowPageBreak"/>
      </w:pPr>
    </w:p>
    <w:p w:rsidR="00000000" w:rsidRPr="00BF2AC7" w:rsidP="00BF2AC7">
      <w:pPr>
        <w:pStyle w:val="Heading1"/>
      </w:pPr>
      <w:bookmarkStart w:id="2" w:name="O_1118443"/>
      <w:bookmarkEnd w:id="2"/>
      <w:r w:rsidRPr="00BF2AC7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F2AC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2AC7" w:rsidP="00BF2AC7">
            <w:pPr>
              <w:pStyle w:val="BodyText"/>
            </w:pPr>
            <w:r w:rsidRPr="00BF2AC7">
              <w:t>This unit involves the skills and knowledge required to install and maintain guard rails in accordance with safeworking an</w:t>
            </w:r>
            <w:r w:rsidRPr="00BF2AC7">
              <w:t>d regulatory requirements, and workplace procedures.</w:t>
            </w:r>
          </w:p>
          <w:p w:rsidR="00000000" w:rsidRPr="00BF2AC7" w:rsidP="00BF2AC7">
            <w:pPr>
              <w:pStyle w:val="BodyText"/>
            </w:pPr>
            <w:r w:rsidRPr="00BF2AC7">
              <w:t>It includes determining job requirements, installing guard rails and completing all required documentation.</w:t>
            </w:r>
          </w:p>
          <w:p w:rsidR="00000000" w:rsidRPr="00BF2AC7" w:rsidP="00BF2AC7">
            <w:pPr>
              <w:pStyle w:val="BodyText"/>
            </w:pPr>
            <w:r w:rsidRPr="00BF2AC7">
              <w:t>People achieving competence in this unit will need to fulfil the applicable state/territory leg</w:t>
            </w:r>
            <w:r w:rsidRPr="00BF2AC7">
              <w:t>islated rail safety requirements and to comply with relevant codes of practice and/or guidelines.</w:t>
            </w:r>
          </w:p>
          <w:p w:rsidR="00000000" w:rsidRPr="00BF2AC7" w:rsidP="00BF2AC7">
            <w:pPr>
              <w:pStyle w:val="BodyText"/>
            </w:pPr>
            <w:r w:rsidRPr="00BF2AC7">
              <w:t>Guard rails include guard rails installed on:</w:t>
            </w:r>
          </w:p>
          <w:p w:rsidR="00000000" w:rsidRPr="00BF2AC7" w:rsidP="00BF2AC7">
            <w:pPr>
              <w:pStyle w:val="ListBullet"/>
            </w:pPr>
            <w:r w:rsidRPr="00BF2AC7">
              <w:t>level crossings and sharp curves to prevent derailment</w:t>
            </w:r>
          </w:p>
          <w:p w:rsidR="00000000" w:rsidRPr="00BF2AC7" w:rsidP="00BF2AC7">
            <w:pPr>
              <w:pStyle w:val="ListBullet"/>
            </w:pPr>
            <w:r w:rsidRPr="00BF2AC7">
              <w:t>unde</w:t>
            </w:r>
            <w:r w:rsidRPr="00BF2AC7">
              <w:t>r bridges and near vulnerable structures to limit lateral movement of derailed wagons.</w:t>
            </w:r>
          </w:p>
          <w:p w:rsidR="00000000" w:rsidRPr="00BF2AC7" w:rsidP="00BF2AC7">
            <w:pPr>
              <w:pStyle w:val="BodyText"/>
            </w:pPr>
            <w:r w:rsidRPr="00BF2AC7">
              <w:t>Work is performed under minimal supervision, generally within a team environment. It involves the application of routine operational principles and procedures when insta</w:t>
            </w:r>
            <w:r w:rsidRPr="00BF2AC7">
              <w:t>lling and maintaining guard rails, as part of workplace activities across a variety of operational contexts within the Australian rail system.</w:t>
            </w:r>
          </w:p>
          <w:p w:rsidR="00000000" w:rsidRPr="00BF2AC7" w:rsidP="00BF2AC7">
            <w:pPr>
              <w:pStyle w:val="BodyText"/>
            </w:pPr>
            <w:r w:rsidRPr="00BF2AC7">
              <w:t>No licensing, legislative or certification requirements apply to this unit at the time of publication.</w:t>
            </w:r>
          </w:p>
        </w:tc>
      </w:tr>
    </w:tbl>
    <w:p w:rsidR="00000000" w:rsidRPr="00BF2AC7" w:rsidP="00BF2AC7">
      <w:pPr>
        <w:pStyle w:val="NoPaddingFontSize1"/>
      </w:pPr>
    </w:p>
    <w:p w:rsidR="00000000" w:rsidRPr="00BF2AC7" w:rsidP="00BF2AC7">
      <w:pPr>
        <w:pStyle w:val="AllowPageBreak"/>
      </w:pPr>
    </w:p>
    <w:p w:rsidR="00000000" w:rsidRPr="00BF2AC7" w:rsidP="00BF2AC7">
      <w:pPr>
        <w:pStyle w:val="Heading1"/>
      </w:pPr>
      <w:bookmarkStart w:id="3" w:name="O_1118442"/>
      <w:bookmarkEnd w:id="3"/>
      <w:r w:rsidRPr="00BF2AC7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F2AC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2AC7" w:rsidP="00BF2AC7">
            <w:pPr>
              <w:pStyle w:val="BodyText"/>
            </w:pPr>
            <w:r w:rsidRPr="00BF2AC7">
              <w:t>Not applicable.</w:t>
            </w:r>
          </w:p>
        </w:tc>
      </w:tr>
    </w:tbl>
    <w:p w:rsidR="00000000" w:rsidRPr="00BF2AC7" w:rsidP="00BF2AC7">
      <w:pPr>
        <w:pStyle w:val="NoPaddingFontSize1"/>
      </w:pPr>
    </w:p>
    <w:p w:rsidR="00000000" w:rsidRPr="00BF2AC7" w:rsidP="00BF2AC7">
      <w:pPr>
        <w:pStyle w:val="AllowPageBreak"/>
      </w:pPr>
    </w:p>
    <w:p w:rsidR="00000000" w:rsidRPr="00BF2AC7" w:rsidP="00BF2AC7">
      <w:pPr>
        <w:pStyle w:val="Heading1"/>
      </w:pPr>
      <w:bookmarkStart w:id="4" w:name="O_1118441"/>
      <w:bookmarkEnd w:id="4"/>
      <w:r w:rsidRPr="00BF2AC7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F2AC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2AC7" w:rsidP="00BF2AC7">
            <w:pPr>
              <w:pStyle w:val="BodyText"/>
            </w:pPr>
            <w:r w:rsidRPr="00BF2AC7">
              <w:t>B – Equipment Checking and Maintenance</w:t>
            </w:r>
          </w:p>
        </w:tc>
      </w:tr>
    </w:tbl>
    <w:p w:rsidR="00000000" w:rsidRPr="00BF2AC7" w:rsidP="00BF2AC7">
      <w:pPr>
        <w:pStyle w:val="NoPaddingFontSize1"/>
      </w:pPr>
    </w:p>
    <w:p w:rsidR="00000000" w:rsidRPr="00BF2AC7" w:rsidP="00BF2AC7">
      <w:pPr>
        <w:pStyle w:val="AllowPageBreak"/>
      </w:pPr>
    </w:p>
    <w:p w:rsidR="00000000" w:rsidRPr="00BF2AC7" w:rsidP="00BF2AC7">
      <w:pPr>
        <w:pStyle w:val="Heading1"/>
      </w:pPr>
      <w:bookmarkStart w:id="5" w:name="O_1118440"/>
      <w:bookmarkEnd w:id="5"/>
      <w:r w:rsidRPr="00BF2AC7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F2AC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2AC7" w:rsidP="00BF2AC7">
            <w:pPr>
              <w:pStyle w:val="BodyText"/>
            </w:pPr>
            <w:r w:rsidRPr="00BF2AC7">
              <w:t>Rail sector.</w:t>
            </w:r>
          </w:p>
        </w:tc>
      </w:tr>
    </w:tbl>
    <w:p w:rsidR="00000000" w:rsidRPr="00BF2AC7" w:rsidP="00BF2AC7">
      <w:pPr>
        <w:pStyle w:val="NoPaddingFontSize1"/>
      </w:pPr>
    </w:p>
    <w:p w:rsidR="00000000" w:rsidRPr="00BF2AC7" w:rsidP="00BF2AC7">
      <w:pPr>
        <w:pStyle w:val="AllowPageBreak"/>
      </w:pPr>
    </w:p>
    <w:p w:rsidR="00000000" w:rsidRPr="00BF2AC7" w:rsidP="00BF2AC7">
      <w:pPr>
        <w:pStyle w:val="Heading1"/>
      </w:pPr>
      <w:bookmarkStart w:id="6" w:name="O_1118439"/>
      <w:bookmarkEnd w:id="6"/>
      <w:r w:rsidRPr="00BF2AC7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BF2AC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2AC7" w:rsidP="00BF2AC7">
            <w:pPr>
              <w:pStyle w:val="BodyText"/>
            </w:pPr>
            <w:r w:rsidRPr="00BF2AC7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2AC7">
            <w:pPr>
              <w:pStyle w:val="BodyText"/>
              <w:rPr>
                <w:lang w:val="en-NZ"/>
              </w:rPr>
            </w:pPr>
            <w:r w:rsidRPr="00BF2AC7">
              <w:rPr>
                <w:rStyle w:val="SpecialBold"/>
              </w:rPr>
              <w:t>PERFORMANCE CRITERIA</w:t>
            </w:r>
          </w:p>
        </w:tc>
      </w:tr>
      <w:tr w:rsidTr="00BF2AC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2AC7">
            <w:pPr>
              <w:pStyle w:val="BodyText"/>
              <w:rPr>
                <w:lang w:val="en-NZ"/>
              </w:rPr>
            </w:pPr>
            <w:r w:rsidRPr="00BF2AC7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2AC7">
            <w:pPr>
              <w:pStyle w:val="BodyText"/>
              <w:rPr>
                <w:lang w:val="en-NZ"/>
              </w:rPr>
            </w:pPr>
            <w:r w:rsidRPr="00BF2AC7">
              <w:t>Performance criteria describe the performance needed to demonstrate achievement of the element.</w:t>
            </w:r>
          </w:p>
        </w:tc>
      </w:tr>
      <w:tr w:rsidTr="00BF2AC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2AC7" w:rsidP="00BF2AC7">
            <w:pPr>
              <w:pStyle w:val="BodyText"/>
            </w:pPr>
            <w:r w:rsidRPr="00BF2AC7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2AC7" w:rsidP="00BF2AC7">
            <w:pPr>
              <w:pStyle w:val="BodyText"/>
            </w:pPr>
            <w:r w:rsidRPr="00BF2AC7">
              <w:rPr>
                <w:rStyle w:val="SpecialBold"/>
              </w:rPr>
              <w:t>Determine job requirements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2AC7">
            <w:pPr>
              <w:pStyle w:val="BodyText"/>
              <w:rPr>
                <w:lang w:val="en-NZ"/>
              </w:rPr>
            </w:pPr>
            <w:r w:rsidRPr="00BF2AC7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2AC7">
            <w:pPr>
              <w:pStyle w:val="BodyText"/>
              <w:rPr>
                <w:lang w:val="en-NZ"/>
              </w:rPr>
            </w:pPr>
            <w:r w:rsidRPr="00BF2AC7">
              <w:t>Worksite is identified</w:t>
            </w:r>
          </w:p>
        </w:tc>
      </w:tr>
      <w:tr w:rsidTr="00BF2AC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2AC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2AC7">
            <w:pPr>
              <w:pStyle w:val="BodyText"/>
              <w:rPr>
                <w:lang w:val="en-NZ"/>
              </w:rPr>
            </w:pPr>
            <w:r w:rsidRPr="00BF2AC7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2AC7">
            <w:pPr>
              <w:pStyle w:val="BodyText"/>
              <w:rPr>
                <w:lang w:val="en-NZ"/>
              </w:rPr>
            </w:pPr>
            <w:r w:rsidRPr="00BF2AC7">
              <w:t>Hazards are identified, risks are assessed and control measures are implemented</w:t>
            </w:r>
          </w:p>
        </w:tc>
      </w:tr>
      <w:tr w:rsidTr="00BF2AC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2AC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2AC7">
            <w:pPr>
              <w:pStyle w:val="BodyText"/>
              <w:rPr>
                <w:lang w:val="en-NZ"/>
              </w:rPr>
            </w:pPr>
            <w:r w:rsidRPr="00BF2AC7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2AC7">
            <w:pPr>
              <w:pStyle w:val="BodyText"/>
              <w:rPr>
                <w:lang w:val="en-NZ"/>
              </w:rPr>
            </w:pPr>
            <w:r w:rsidRPr="00BF2AC7">
              <w:t>Obstructions are cleared from gangways/flangeways to ensure safe passage of trains</w:t>
            </w:r>
          </w:p>
        </w:tc>
      </w:tr>
      <w:tr w:rsidTr="00BF2AC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2AC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2AC7">
            <w:pPr>
              <w:pStyle w:val="BodyText"/>
              <w:rPr>
                <w:lang w:val="en-NZ"/>
              </w:rPr>
            </w:pPr>
            <w:r w:rsidRPr="00BF2AC7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2AC7">
            <w:pPr>
              <w:pStyle w:val="BodyText"/>
              <w:rPr>
                <w:lang w:val="en-NZ"/>
              </w:rPr>
            </w:pPr>
            <w:r w:rsidRPr="00BF2AC7">
              <w:t>Installation, replacement or repair method is selected in accordance with work requirements, rail industry standards and workplace procedures</w:t>
            </w:r>
          </w:p>
        </w:tc>
      </w:tr>
      <w:tr w:rsidTr="00BF2AC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2AC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2AC7">
            <w:pPr>
              <w:pStyle w:val="BodyText"/>
              <w:rPr>
                <w:lang w:val="en-NZ"/>
              </w:rPr>
            </w:pPr>
            <w:r w:rsidRPr="00BF2AC7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2AC7">
            <w:pPr>
              <w:pStyle w:val="BodyText"/>
              <w:rPr>
                <w:lang w:val="en-NZ"/>
              </w:rPr>
            </w:pPr>
            <w:r w:rsidRPr="00BF2AC7">
              <w:t>Plant, equipment and materials are prepared for work</w:t>
            </w:r>
          </w:p>
        </w:tc>
      </w:tr>
      <w:tr w:rsidTr="00BF2AC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2AC7" w:rsidP="00BF2AC7">
            <w:pPr>
              <w:pStyle w:val="BodyText"/>
            </w:pPr>
            <w:r w:rsidRPr="00BF2AC7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2AC7" w:rsidP="00BF2AC7">
            <w:pPr>
              <w:pStyle w:val="BodyText"/>
            </w:pPr>
            <w:r w:rsidRPr="00BF2AC7">
              <w:rPr>
                <w:rStyle w:val="SpecialBold"/>
              </w:rPr>
              <w:t>Install guard rail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2AC7">
            <w:pPr>
              <w:pStyle w:val="BodyText"/>
              <w:rPr>
                <w:lang w:val="en-NZ"/>
              </w:rPr>
            </w:pPr>
            <w:r w:rsidRPr="00BF2AC7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2AC7">
            <w:pPr>
              <w:pStyle w:val="BodyText"/>
              <w:rPr>
                <w:lang w:val="en-NZ"/>
              </w:rPr>
            </w:pPr>
            <w:r w:rsidRPr="00BF2AC7">
              <w:t>Existing guard rail is remov</w:t>
            </w:r>
            <w:r w:rsidRPr="00BF2AC7">
              <w:t>ed, as required, to enable fitting of new rail</w:t>
            </w:r>
          </w:p>
        </w:tc>
      </w:tr>
      <w:tr w:rsidTr="00BF2AC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2AC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2AC7">
            <w:pPr>
              <w:pStyle w:val="BodyText"/>
              <w:rPr>
                <w:lang w:val="en-NZ"/>
              </w:rPr>
            </w:pPr>
            <w:r w:rsidRPr="00BF2AC7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2AC7">
            <w:pPr>
              <w:pStyle w:val="BodyText"/>
              <w:rPr>
                <w:lang w:val="en-NZ"/>
              </w:rPr>
            </w:pPr>
            <w:r w:rsidRPr="00BF2AC7">
              <w:t>New or replacement guard rail is installed to required standards using suitable equipment and fastening system to restore functionality of guard rail</w:t>
            </w:r>
          </w:p>
        </w:tc>
      </w:tr>
      <w:tr w:rsidTr="00BF2AC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2AC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2AC7">
            <w:pPr>
              <w:pStyle w:val="BodyText"/>
              <w:rPr>
                <w:lang w:val="en-NZ"/>
              </w:rPr>
            </w:pPr>
            <w:r w:rsidRPr="00BF2AC7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2AC7">
            <w:pPr>
              <w:pStyle w:val="BodyText"/>
              <w:rPr>
                <w:lang w:val="en-NZ"/>
              </w:rPr>
            </w:pPr>
            <w:r w:rsidRPr="00BF2AC7">
              <w:t>Final job is checked for compliance to required standards to enable services to be restored safely</w:t>
            </w:r>
          </w:p>
        </w:tc>
      </w:tr>
      <w:tr w:rsidTr="00BF2AC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2AC7" w:rsidP="00BF2AC7">
            <w:pPr>
              <w:pStyle w:val="BodyText"/>
            </w:pPr>
            <w:r w:rsidRPr="00BF2AC7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2AC7" w:rsidP="00BF2AC7">
            <w:pPr>
              <w:pStyle w:val="BodyText"/>
            </w:pPr>
            <w:r w:rsidRPr="00BF2AC7">
              <w:rPr>
                <w:rStyle w:val="SpecialBold"/>
              </w:rPr>
              <w:t>Complete documentation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2AC7">
            <w:pPr>
              <w:pStyle w:val="BodyText"/>
              <w:rPr>
                <w:lang w:val="en-NZ"/>
              </w:rPr>
            </w:pPr>
            <w:r w:rsidRPr="00BF2AC7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2AC7">
            <w:pPr>
              <w:pStyle w:val="BodyText"/>
              <w:rPr>
                <w:lang w:val="en-NZ"/>
              </w:rPr>
            </w:pPr>
            <w:r w:rsidRPr="00BF2AC7">
              <w:t>Required documentation procedures and processes are confirmed</w:t>
            </w:r>
          </w:p>
        </w:tc>
      </w:tr>
      <w:tr w:rsidTr="00BF2AC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2AC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2AC7">
            <w:pPr>
              <w:pStyle w:val="BodyText"/>
              <w:rPr>
                <w:lang w:val="en-NZ"/>
              </w:rPr>
            </w:pPr>
            <w:r w:rsidRPr="00BF2AC7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2AC7">
            <w:pPr>
              <w:pStyle w:val="BodyText"/>
              <w:rPr>
                <w:lang w:val="en-NZ"/>
              </w:rPr>
            </w:pPr>
            <w:r w:rsidRPr="00BF2AC7">
              <w:t>Documentation is filled in legibly and proofread</w:t>
            </w:r>
          </w:p>
        </w:tc>
      </w:tr>
      <w:tr w:rsidTr="00BF2AC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2AC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2AC7">
            <w:pPr>
              <w:pStyle w:val="BodyText"/>
              <w:rPr>
                <w:lang w:val="en-NZ"/>
              </w:rPr>
            </w:pPr>
            <w:r w:rsidRPr="00BF2AC7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2AC7" w:rsidP="00BF2AC7">
            <w:pPr>
              <w:pStyle w:val="BodyText"/>
            </w:pPr>
            <w:r w:rsidRPr="00BF2AC7">
              <w:t>Documentation is processed in accordance with workplace procedures</w:t>
            </w:r>
          </w:p>
        </w:tc>
      </w:tr>
    </w:tbl>
    <w:p w:rsidR="00000000" w:rsidRPr="00BF2AC7" w:rsidP="00BF2AC7">
      <w:pPr>
        <w:pStyle w:val="NoPaddingFontSize1"/>
      </w:pPr>
    </w:p>
    <w:p w:rsidR="00000000" w:rsidRPr="00BF2AC7" w:rsidP="00BF2AC7">
      <w:pPr>
        <w:pStyle w:val="AllowPageBreak"/>
      </w:pPr>
    </w:p>
    <w:p w:rsidR="00000000" w:rsidRPr="00BF2AC7" w:rsidP="00BF2AC7">
      <w:pPr>
        <w:pStyle w:val="Heading1"/>
      </w:pPr>
      <w:bookmarkStart w:id="7" w:name="O_1118438"/>
      <w:bookmarkEnd w:id="7"/>
      <w:r w:rsidRPr="00BF2AC7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F2AC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2AC7" w:rsidP="00BF2AC7">
            <w:pPr>
              <w:pStyle w:val="BodyText"/>
            </w:pPr>
            <w:r w:rsidRPr="00BF2AC7">
              <w:t>Foundation skills essential to performance are explicit in the performance criteria of this unit of competency.</w:t>
            </w:r>
          </w:p>
        </w:tc>
      </w:tr>
    </w:tbl>
    <w:p w:rsidR="00000000" w:rsidRPr="00BF2AC7" w:rsidP="00BF2AC7">
      <w:pPr>
        <w:pStyle w:val="NoPaddingFontSize1"/>
      </w:pPr>
    </w:p>
    <w:p w:rsidR="00000000" w:rsidRPr="00BF2AC7" w:rsidP="00BF2AC7">
      <w:pPr>
        <w:pStyle w:val="AllowPageBreak"/>
      </w:pPr>
    </w:p>
    <w:p w:rsidR="00000000" w:rsidRPr="00BF2AC7" w:rsidP="00BF2AC7">
      <w:pPr>
        <w:pStyle w:val="Heading1"/>
      </w:pPr>
      <w:bookmarkStart w:id="8" w:name="O_1118437"/>
      <w:bookmarkEnd w:id="8"/>
      <w:r w:rsidRPr="00BF2AC7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F2AC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2AC7" w:rsidP="00BF2AC7">
            <w:pPr>
              <w:pStyle w:val="BodyText"/>
            </w:pPr>
            <w:r w:rsidRPr="00BF2AC7">
              <w:t>Range is restricted to essential operating conditions and any other variables essential to the work environment.</w:t>
            </w:r>
          </w:p>
        </w:tc>
      </w:tr>
    </w:tbl>
    <w:p w:rsidR="00000000" w:rsidRPr="00BF2AC7" w:rsidP="00BF2AC7">
      <w:pPr>
        <w:pStyle w:val="NoPaddingFontSize1"/>
      </w:pPr>
    </w:p>
    <w:p w:rsidR="00000000" w:rsidRPr="00BF2AC7" w:rsidP="00BF2AC7">
      <w:pPr>
        <w:pStyle w:val="AllowPageBreak"/>
      </w:pPr>
    </w:p>
    <w:p w:rsidR="00000000" w:rsidRPr="00BF2AC7" w:rsidP="00BF2AC7">
      <w:pPr>
        <w:pStyle w:val="Heading1"/>
      </w:pPr>
      <w:bookmarkStart w:id="9" w:name="O_1118436"/>
      <w:bookmarkEnd w:id="9"/>
      <w:r w:rsidRPr="00BF2AC7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F2AC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2AC7" w:rsidP="00BF2AC7">
            <w:pPr>
              <w:pStyle w:val="BodyText"/>
            </w:pPr>
            <w:r w:rsidRPr="00BF2AC7">
              <w:t xml:space="preserve">This unit replaces and is equivalent to TLIB2097A Install and maintain guard </w:t>
            </w:r>
            <w:r w:rsidRPr="00BF2AC7">
              <w:t>rails.</w:t>
            </w:r>
          </w:p>
        </w:tc>
      </w:tr>
    </w:tbl>
    <w:p w:rsidR="00000000" w:rsidRPr="00BF2AC7" w:rsidP="00BF2AC7">
      <w:pPr>
        <w:pStyle w:val="NoPaddingFontSize1"/>
      </w:pPr>
    </w:p>
    <w:p w:rsidR="00000000" w:rsidRPr="00BF2AC7" w:rsidP="00BF2AC7">
      <w:pPr>
        <w:pStyle w:val="AllowPageBreak"/>
      </w:pPr>
    </w:p>
    <w:p w:rsidR="00000000" w:rsidRPr="00BF2AC7" w:rsidP="00BF2AC7">
      <w:pPr>
        <w:pStyle w:val="Heading1"/>
      </w:pPr>
      <w:bookmarkStart w:id="10" w:name="O_1118445"/>
      <w:bookmarkEnd w:id="10"/>
      <w:r w:rsidRPr="00BF2AC7">
        <w:t>Links</w:t>
      </w:r>
    </w:p>
    <w:p w:rsidR="00000000" w:rsidRPr="00BF2AC7" w:rsidP="0001087D">
      <w:pPr>
        <w:pStyle w:val="BodyText"/>
      </w:pPr>
      <w:r w:rsidRPr="00BF2AC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B32B81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BF2AC7" w:rsidP="00BF2AC7"/>
    <w:sectPr w:rsidSect="00BF2AC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2AC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2AC7" w:rsidRPr="0001087D" w:rsidP="0001087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2AC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087D" w:rsidP="00BF2AC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1087D" w:rsidP="00BF2AC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01087D" w:rsidP="00BF2AC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2AC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087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F2AC7" w:rsidRPr="0001087D" w:rsidP="0001087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2AC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087D" w:rsidRPr="002D2AF8" w:rsidP="00BF2AC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TLIB2097 Install and maintain guard rails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01087D" w:rsidP="00BF2AC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20A45C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1E8151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2AC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F2AC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F2AC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F2AC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F2AC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F2AC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F2AC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F2AC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F2AC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F2AC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F2AC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F2AC7"/>
  </w:style>
  <w:style w:type="character" w:customStyle="1" w:styleId="Heading1Char">
    <w:name w:val="Heading 1 Char"/>
    <w:basedOn w:val="DefaultParagraphFont"/>
    <w:link w:val="Heading1"/>
    <w:rsid w:val="00BF2AC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F2AC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F2AC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F2AC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F2AC7"/>
    <w:rPr>
      <w:b/>
      <w:spacing w:val="0"/>
    </w:rPr>
  </w:style>
  <w:style w:type="paragraph" w:customStyle="1" w:styleId="SuperHeading">
    <w:name w:val="SuperHeading"/>
    <w:basedOn w:val="Normal"/>
    <w:rsid w:val="00BF2AC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F2AC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BF2AC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F2AC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F2AC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F2AC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F2AC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F2AC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F2AC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F2AC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F2AC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F2AC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F2AC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F2AC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F2AC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F2AC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F2AC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F2AC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F2AC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F2AC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F2AC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F2AC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F2AC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F2AC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F2AC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F2AC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F2AC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F2AC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F2AC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F2AC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F2AC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F2AC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F2AC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F2AC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F2AC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F2AC7"/>
    <w:rPr>
      <w:i/>
    </w:rPr>
  </w:style>
  <w:style w:type="paragraph" w:styleId="Caption">
    <w:name w:val="caption"/>
    <w:basedOn w:val="BodyText"/>
    <w:next w:val="Normal"/>
    <w:qFormat/>
    <w:rsid w:val="00BF2AC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F2AC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F2AC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F2AC7"/>
  </w:style>
  <w:style w:type="paragraph" w:styleId="TableofFigures">
    <w:name w:val="table of figures"/>
    <w:basedOn w:val="Normal"/>
    <w:next w:val="Normal"/>
    <w:semiHidden/>
    <w:rsid w:val="00BF2AC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F2AC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F2AC7"/>
    <w:rPr>
      <w:rFonts w:ascii="Wingdings" w:hAnsi="Wingdings"/>
    </w:rPr>
  </w:style>
  <w:style w:type="paragraph" w:customStyle="1" w:styleId="TableHeading">
    <w:name w:val="Table Heading"/>
    <w:basedOn w:val="HeadingBase"/>
    <w:rsid w:val="00BF2AC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F2AC7"/>
    <w:rPr>
      <w:color w:val="0033CC"/>
      <w:u w:val="none"/>
    </w:rPr>
  </w:style>
  <w:style w:type="paragraph" w:customStyle="1" w:styleId="BodyTextRight">
    <w:name w:val="Body Text Right"/>
    <w:basedOn w:val="BodyText"/>
    <w:rsid w:val="00BF2AC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F2AC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F2AC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F2AC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F2AC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F2AC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F2AC7"/>
    <w:rPr>
      <w:sz w:val="32"/>
    </w:rPr>
  </w:style>
  <w:style w:type="paragraph" w:customStyle="1" w:styleId="HeadingProcedure">
    <w:name w:val="Heading Procedure"/>
    <w:basedOn w:val="HeadingBase"/>
    <w:next w:val="Normal"/>
    <w:rsid w:val="00BF2AC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F2AC7"/>
    <w:pPr>
      <w:spacing w:before="60" w:after="60"/>
    </w:pPr>
  </w:style>
  <w:style w:type="paragraph" w:styleId="ListContinue">
    <w:name w:val="List Continue"/>
    <w:basedOn w:val="List"/>
    <w:rsid w:val="00BF2AC7"/>
    <w:pPr>
      <w:ind w:firstLine="0"/>
    </w:pPr>
  </w:style>
  <w:style w:type="paragraph" w:customStyle="1" w:styleId="ListNote">
    <w:name w:val="List Note"/>
    <w:basedOn w:val="List"/>
    <w:rsid w:val="00BF2AC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F2AC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F2AC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F2AC7"/>
    <w:rPr>
      <w:rFonts w:ascii="Courier New" w:hAnsi="Courier New"/>
    </w:rPr>
  </w:style>
  <w:style w:type="paragraph" w:customStyle="1" w:styleId="NoteBullet">
    <w:name w:val="Note Bullet"/>
    <w:basedOn w:val="Note"/>
    <w:rsid w:val="00BF2AC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F2AC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F2AC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F2AC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F2AC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F2AC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F2AC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F2AC7"/>
    <w:rPr>
      <w:b/>
      <w:smallCaps/>
    </w:rPr>
  </w:style>
  <w:style w:type="paragraph" w:customStyle="1" w:styleId="TableListNumber">
    <w:name w:val="Table List Number"/>
    <w:basedOn w:val="ListNumber"/>
    <w:rsid w:val="00BF2AC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F2AC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F2AC7"/>
    <w:pPr>
      <w:numPr>
        <w:numId w:val="8"/>
      </w:numPr>
    </w:pPr>
  </w:style>
  <w:style w:type="paragraph" w:customStyle="1" w:styleId="ListAlpha2">
    <w:name w:val="List Alpha 2"/>
    <w:basedOn w:val="List2"/>
    <w:rsid w:val="00BF2AC7"/>
    <w:pPr>
      <w:numPr>
        <w:numId w:val="7"/>
      </w:numPr>
    </w:pPr>
  </w:style>
  <w:style w:type="paragraph" w:styleId="List2">
    <w:name w:val="List 2"/>
    <w:basedOn w:val="BodyText"/>
    <w:rsid w:val="00BF2AC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F2AC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F2AC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F2AC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F2AC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F2AC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F2AC7"/>
    <w:pPr>
      <w:numPr>
        <w:numId w:val="3"/>
      </w:numPr>
    </w:pPr>
  </w:style>
  <w:style w:type="paragraph" w:styleId="ListContinue2">
    <w:name w:val="List Continue 2"/>
    <w:basedOn w:val="List2"/>
    <w:rsid w:val="00BF2AC7"/>
    <w:pPr>
      <w:ind w:firstLine="0"/>
    </w:pPr>
  </w:style>
  <w:style w:type="paragraph" w:styleId="ListContinue3">
    <w:name w:val="List Continue 3"/>
    <w:basedOn w:val="List3"/>
    <w:rsid w:val="00BF2AC7"/>
    <w:pPr>
      <w:ind w:left="1021" w:firstLine="0"/>
    </w:pPr>
  </w:style>
  <w:style w:type="paragraph" w:styleId="ListContinue4">
    <w:name w:val="List Continue 4"/>
    <w:basedOn w:val="List4"/>
    <w:rsid w:val="00BF2AC7"/>
    <w:pPr>
      <w:ind w:firstLine="0"/>
    </w:pPr>
  </w:style>
  <w:style w:type="paragraph" w:styleId="ListContinue5">
    <w:name w:val="List Continue 5"/>
    <w:basedOn w:val="List5"/>
    <w:rsid w:val="00BF2AC7"/>
    <w:pPr>
      <w:ind w:firstLine="0"/>
    </w:pPr>
  </w:style>
  <w:style w:type="paragraph" w:styleId="ListNumber3">
    <w:name w:val="List Number 3"/>
    <w:basedOn w:val="List3"/>
    <w:rsid w:val="00BF2AC7"/>
    <w:pPr>
      <w:numPr>
        <w:numId w:val="4"/>
      </w:numPr>
    </w:pPr>
  </w:style>
  <w:style w:type="paragraph" w:styleId="ListNumber4">
    <w:name w:val="List Number 4"/>
    <w:basedOn w:val="List4"/>
    <w:rsid w:val="00BF2AC7"/>
    <w:pPr>
      <w:numPr>
        <w:numId w:val="5"/>
      </w:numPr>
    </w:pPr>
  </w:style>
  <w:style w:type="paragraph" w:styleId="ListNumber5">
    <w:name w:val="List Number 5"/>
    <w:basedOn w:val="List5"/>
    <w:rsid w:val="00BF2AC7"/>
    <w:pPr>
      <w:numPr>
        <w:numId w:val="6"/>
      </w:numPr>
    </w:pPr>
  </w:style>
  <w:style w:type="paragraph" w:styleId="BlockText">
    <w:name w:val="Block Text"/>
    <w:basedOn w:val="Normal"/>
    <w:rsid w:val="00BF2AC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F2AC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F2AC7"/>
    <w:rPr>
      <w:sz w:val="16"/>
      <w:vertAlign w:val="superscript"/>
    </w:rPr>
  </w:style>
  <w:style w:type="character" w:customStyle="1" w:styleId="Symbols">
    <w:name w:val="Symbols"/>
    <w:basedOn w:val="DefaultParagraphFont"/>
    <w:rsid w:val="00BF2AC7"/>
    <w:rPr>
      <w:rFonts w:ascii="Symbol" w:hAnsi="Symbol"/>
    </w:rPr>
  </w:style>
  <w:style w:type="character" w:customStyle="1" w:styleId="MenuOptions">
    <w:name w:val="Menu Options"/>
    <w:basedOn w:val="DefaultParagraphFont"/>
    <w:rsid w:val="00BF2AC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F2AC7"/>
    <w:rPr>
      <w:b/>
    </w:rPr>
  </w:style>
  <w:style w:type="character" w:customStyle="1" w:styleId="Underlined">
    <w:name w:val="Underlined"/>
    <w:basedOn w:val="DefaultParagraphFont"/>
    <w:rsid w:val="00BF2AC7"/>
    <w:rPr>
      <w:u w:val="single"/>
    </w:rPr>
  </w:style>
  <w:style w:type="paragraph" w:customStyle="1" w:styleId="TableBodyTextRight">
    <w:name w:val="Table Body Text Right"/>
    <w:basedOn w:val="TableBodyText"/>
    <w:rsid w:val="00BF2AC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F2AC7"/>
    <w:rPr>
      <w:sz w:val="18"/>
    </w:rPr>
  </w:style>
  <w:style w:type="paragraph" w:customStyle="1" w:styleId="BodySmallRight">
    <w:name w:val="Body Small Right"/>
    <w:basedOn w:val="BodyTextRight"/>
    <w:rsid w:val="00BF2AC7"/>
    <w:rPr>
      <w:sz w:val="18"/>
      <w:szCs w:val="18"/>
    </w:rPr>
  </w:style>
  <w:style w:type="paragraph" w:customStyle="1" w:styleId="MarginEdition">
    <w:name w:val="Margin Edition"/>
    <w:basedOn w:val="MarginNote"/>
    <w:rsid w:val="00BF2AC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F2AC7"/>
    <w:rPr>
      <w:sz w:val="2"/>
      <w:szCs w:val="2"/>
    </w:rPr>
  </w:style>
  <w:style w:type="character" w:customStyle="1" w:styleId="Small">
    <w:name w:val="Small"/>
    <w:basedOn w:val="DefaultParagraphFont"/>
    <w:rsid w:val="00BF2AC7"/>
    <w:rPr>
      <w:sz w:val="16"/>
    </w:rPr>
  </w:style>
  <w:style w:type="paragraph" w:customStyle="1" w:styleId="WideTable">
    <w:name w:val="Wide Table"/>
    <w:basedOn w:val="Normal"/>
    <w:rsid w:val="00BF2AC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F2AC7"/>
  </w:style>
  <w:style w:type="paragraph" w:styleId="Quote">
    <w:name w:val="Quote"/>
    <w:basedOn w:val="Heading1"/>
    <w:link w:val="QuoteChar"/>
    <w:qFormat/>
    <w:rsid w:val="00BF2AC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F2AC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F2AC7"/>
    <w:pPr>
      <w:pageBreakBefore/>
    </w:pPr>
  </w:style>
  <w:style w:type="paragraph" w:customStyle="1" w:styleId="Border">
    <w:name w:val="Border"/>
    <w:basedOn w:val="Normal"/>
    <w:qFormat/>
    <w:rsid w:val="00BF2AC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F2AC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F2AC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F2AC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F2AC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F2AC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F2AC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F2AC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F2AC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F2AC7"/>
    <w:rPr>
      <w:u w:val="single"/>
    </w:rPr>
  </w:style>
  <w:style w:type="character" w:customStyle="1" w:styleId="BoldandItalics">
    <w:name w:val="Bold and Italics"/>
    <w:qFormat/>
    <w:rsid w:val="00BF2AC7"/>
    <w:rPr>
      <w:b/>
      <w:i/>
      <w:u w:val="none"/>
    </w:rPr>
  </w:style>
  <w:style w:type="paragraph" w:styleId="BalloonText">
    <w:name w:val="Balloon Text"/>
    <w:basedOn w:val="Normal"/>
    <w:link w:val="BalloonTextChar"/>
    <w:rsid w:val="00BF2AC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F2AC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F2AC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F2AC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F2AC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F2AC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F2AC7"/>
    <w:pPr>
      <w:spacing w:before="0" w:after="0"/>
    </w:pPr>
  </w:style>
  <w:style w:type="paragraph" w:customStyle="1" w:styleId="BodyTextBold">
    <w:name w:val="Body Text Bold"/>
    <w:basedOn w:val="BodyText"/>
    <w:qFormat/>
    <w:rsid w:val="00BF2AC7"/>
    <w:rPr>
      <w:b/>
    </w:rPr>
  </w:style>
  <w:style w:type="character" w:styleId="Hyperlink">
    <w:name w:val="Hyperlink"/>
    <w:basedOn w:val="DefaultParagraphFont"/>
    <w:uiPriority w:val="99"/>
    <w:unhideWhenUsed/>
    <w:rsid w:val="0001087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499</Words>
  <Characters>3118</Characters>
  <Application>Microsoft Office Word</Application>
  <DocSecurity>0</DocSecurity>
  <Lines>135</Lines>
  <Paragraphs>78</Paragraphs>
  <ScaleCrop>false</ScaleCrop>
  <Company>Author-it Software Corporation Ltd.</Company>
  <LinksUpToDate>false</LinksUpToDate>
  <CharactersWithSpaces>3539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TLIB2097 Install and maintain guard rails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2024-07-12T07:19:00Z</dcterms:created>
  <dcterms:modified xsi:type="dcterms:W3CDTF">2024-07-12T07:19:00Z</dcterms:modified>
</cp:coreProperties>
</file>