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99B" w:rsidP="00B62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TLIB2086 Apply awareness of structures fundamentals</w:t>
      </w:r>
      <w:r>
        <w:fldChar w:fldCharType="end"/>
      </w:r>
    </w:p>
    <w:p w:rsidR="00B6299B" w:rsidP="00B6299B">
      <w:pPr>
        <w:pStyle w:val="Version"/>
        <w:sectPr w:rsidSect="00FA74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741B" w:rsidP="00FA741B">
      <w:pPr>
        <w:pStyle w:val="SuperHeading"/>
      </w:pPr>
      <w:r w:rsidRPr="00FA741B">
        <w:t>Assessment Requirements for TLIB2086 Apply awareness of structures fundamentals</w:t>
      </w:r>
    </w:p>
    <w:p w:rsidR="00000000" w:rsidRPr="00FA741B" w:rsidP="00FA741B">
      <w:pPr>
        <w:pStyle w:val="Heading1"/>
      </w:pPr>
      <w:bookmarkStart w:id="1" w:name="O_1118362"/>
      <w:bookmarkEnd w:id="1"/>
      <w:r w:rsidRPr="00FA74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4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1B" w:rsidP="00FA741B">
            <w:pPr>
              <w:pStyle w:val="BodyText"/>
            </w:pPr>
            <w:r w:rsidRPr="00FA741B">
              <w:rPr>
                <w:rStyle w:val="SpecialBold"/>
              </w:rPr>
              <w:t>Release 2</w:t>
            </w:r>
            <w:r w:rsidRPr="00FA741B">
              <w:t>. This is the second release of this unit of competency in the TLI Transport and Logistics Training Package:</w:t>
            </w:r>
          </w:p>
          <w:p w:rsidR="00000000" w:rsidP="00FA741B">
            <w:pPr>
              <w:pStyle w:val="ListBullet"/>
              <w:rPr>
                <w:lang w:val="en-NZ"/>
              </w:rPr>
            </w:pPr>
            <w:r w:rsidRPr="00FA741B">
              <w:t>Minor statement changes in Assessment Conditions.</w:t>
            </w:r>
          </w:p>
        </w:tc>
      </w:tr>
      <w:tr w:rsidTr="00FA74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1B" w:rsidP="00FA741B">
            <w:pPr>
              <w:pStyle w:val="BodyText"/>
            </w:pPr>
            <w:r w:rsidRPr="00FA741B">
              <w:rPr>
                <w:rStyle w:val="SpecialBold"/>
              </w:rPr>
              <w:t>Release 1</w:t>
            </w:r>
            <w:r w:rsidRPr="00FA741B">
              <w:t>. This is the first release of this unit of competency in the TLI Transport and Logistics Training Package.</w:t>
            </w:r>
          </w:p>
        </w:tc>
      </w:tr>
    </w:tbl>
    <w:p w:rsidR="00000000" w:rsidRPr="00FA741B" w:rsidP="00FA741B">
      <w:pPr>
        <w:pStyle w:val="NoPaddingFontSize1"/>
      </w:pPr>
    </w:p>
    <w:p w:rsidR="00000000" w:rsidRPr="00FA741B" w:rsidP="00FA741B">
      <w:pPr>
        <w:pStyle w:val="AllowPageBreak"/>
      </w:pPr>
    </w:p>
    <w:p w:rsidR="00000000" w:rsidRPr="00FA741B" w:rsidP="00FA741B">
      <w:pPr>
        <w:pStyle w:val="Heading1"/>
      </w:pPr>
      <w:bookmarkStart w:id="2" w:name="O_1118361"/>
      <w:bookmarkEnd w:id="2"/>
      <w:r w:rsidRPr="00FA74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4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1B" w:rsidP="00FA741B">
            <w:pPr>
              <w:pStyle w:val="BodyText"/>
            </w:pPr>
            <w:r w:rsidRPr="00FA741B">
              <w:t>Evidence required to demonstrate competence in</w:t>
            </w:r>
            <w:r w:rsidRPr="00FA741B">
              <w:t xml:space="preserve"> this unit must be relevant to and satisfy all of the requirements of the elements and performance criteria on at least one occasion and include:</w:t>
            </w:r>
          </w:p>
          <w:p w:rsidR="00000000" w:rsidRPr="00FA741B" w:rsidP="00FA741B">
            <w:pPr>
              <w:pStyle w:val="ListBullet"/>
            </w:pPr>
            <w:r w:rsidRPr="00FA741B">
              <w:t>applying relevant workplace procedures</w:t>
            </w:r>
          </w:p>
          <w:p w:rsidR="00000000" w:rsidRPr="00FA741B" w:rsidP="00FA741B">
            <w:pPr>
              <w:pStyle w:val="ListBullet"/>
            </w:pPr>
            <w:r w:rsidRPr="00FA741B">
              <w:t>following operational instructions and work sequences when locating de</w:t>
            </w:r>
            <w:r w:rsidRPr="00FA741B">
              <w:t>fects in structures</w:t>
            </w:r>
          </w:p>
          <w:p w:rsidR="00000000" w:rsidRPr="00FA741B" w:rsidP="00FA741B">
            <w:pPr>
              <w:pStyle w:val="ListBullet"/>
            </w:pPr>
            <w:r w:rsidRPr="00FA741B">
              <w:t>identifying job hazards and required action to minimise, control or eliminate identified hazards</w:t>
            </w:r>
          </w:p>
          <w:p w:rsidR="00000000" w:rsidRPr="00FA741B" w:rsidP="00FA741B">
            <w:pPr>
              <w:pStyle w:val="ListBullet"/>
            </w:pPr>
            <w:r w:rsidRPr="00FA741B">
              <w:t>reading and interpreting relevant instructions, procedures, information, technical data, standards and drawings</w:t>
            </w:r>
          </w:p>
          <w:p w:rsidR="00000000" w:rsidRPr="00FA741B" w:rsidP="00FA741B">
            <w:pPr>
              <w:pStyle w:val="ListBullet"/>
            </w:pPr>
            <w:r w:rsidRPr="00FA741B">
              <w:t>selecting equipment for a basic structure inspection</w:t>
            </w:r>
          </w:p>
          <w:p w:rsidR="00000000" w:rsidRPr="00FA741B" w:rsidP="00FA741B">
            <w:pPr>
              <w:pStyle w:val="ListBullet"/>
            </w:pPr>
            <w:r w:rsidRPr="00FA741B">
              <w:t>undertaking a basic structures inspection.</w:t>
            </w:r>
          </w:p>
        </w:tc>
      </w:tr>
    </w:tbl>
    <w:p w:rsidR="00000000" w:rsidRPr="00FA741B" w:rsidP="00FA741B">
      <w:pPr>
        <w:pStyle w:val="NoPaddingFontSize1"/>
      </w:pPr>
    </w:p>
    <w:p w:rsidR="00000000" w:rsidRPr="00FA741B" w:rsidP="00FA741B">
      <w:pPr>
        <w:pStyle w:val="AllowPageBreak"/>
      </w:pPr>
    </w:p>
    <w:p w:rsidR="00000000" w:rsidRPr="00FA741B" w:rsidP="00FA741B">
      <w:pPr>
        <w:pStyle w:val="Heading1"/>
      </w:pPr>
      <w:bookmarkStart w:id="3" w:name="O_1118360"/>
      <w:bookmarkEnd w:id="3"/>
      <w:r w:rsidRPr="00FA74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4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1B" w:rsidP="00FA741B">
            <w:pPr>
              <w:pStyle w:val="BodyText"/>
            </w:pPr>
            <w:r w:rsidRPr="00FA741B">
              <w:t xml:space="preserve">Evidence required to demonstrate competence in this unit must be relevant to and satisfy all of the requirements of the </w:t>
            </w:r>
            <w:r w:rsidRPr="00FA741B">
              <w:t>elements and performance criteria and include knowledge of:</w:t>
            </w:r>
          </w:p>
          <w:p w:rsidR="00000000" w:rsidRPr="00FA741B" w:rsidP="00FA741B">
            <w:pPr>
              <w:pStyle w:val="ListBullet"/>
            </w:pPr>
            <w:r w:rsidRPr="00FA741B">
              <w:t>defect categories/types convention</w:t>
            </w:r>
          </w:p>
          <w:p w:rsidR="00000000" w:rsidRPr="00FA741B" w:rsidP="00FA741B">
            <w:pPr>
              <w:pStyle w:val="ListBullet"/>
            </w:pPr>
            <w:r w:rsidRPr="00FA741B">
              <w:t>fundamentals of structure types</w:t>
            </w:r>
          </w:p>
          <w:p w:rsidR="00000000" w:rsidRPr="00FA741B" w:rsidP="00FA741B">
            <w:pPr>
              <w:pStyle w:val="ListBullet"/>
            </w:pPr>
            <w:r w:rsidRPr="00FA741B">
              <w:t>hazards that may exist when locating defects in structures and ways of controlling the risks involved</w:t>
            </w:r>
          </w:p>
          <w:p w:rsidR="00000000" w:rsidRPr="00FA741B" w:rsidP="00FA741B">
            <w:pPr>
              <w:pStyle w:val="ListBullet"/>
            </w:pPr>
            <w:r w:rsidRPr="00FA741B">
              <w:t>problems that may occur wh</w:t>
            </w:r>
            <w:r w:rsidRPr="00FA741B">
              <w:t>en locating defects in structures and action that can be taken to report or resolve these problems</w:t>
            </w:r>
          </w:p>
          <w:p w:rsidR="00000000" w:rsidRPr="00FA741B" w:rsidP="00FA741B">
            <w:pPr>
              <w:pStyle w:val="ListBullet"/>
            </w:pPr>
            <w:r w:rsidRPr="00FA741B">
              <w:t>relevant rail danger zones</w:t>
            </w:r>
          </w:p>
          <w:p w:rsidR="00000000" w:rsidRPr="00FA741B" w:rsidP="00FA741B">
            <w:pPr>
              <w:pStyle w:val="ListBullet"/>
            </w:pPr>
            <w:r w:rsidRPr="00FA741B">
              <w:t>relevant  work health and safety (WHS)/occupational health and safety (OHS) and environmental procedures and regulations</w:t>
            </w:r>
          </w:p>
          <w:p w:rsidR="00000000" w:rsidRPr="00FA741B" w:rsidP="00FA741B">
            <w:pPr>
              <w:pStyle w:val="ListBullet"/>
            </w:pPr>
            <w:r w:rsidRPr="00FA741B">
              <w:t>structure</w:t>
            </w:r>
            <w:r w:rsidRPr="00FA741B">
              <w:t>s components</w:t>
            </w:r>
          </w:p>
          <w:p w:rsidR="00000000" w:rsidRPr="00FA741B" w:rsidP="00FA741B">
            <w:pPr>
              <w:pStyle w:val="ListBullet"/>
            </w:pPr>
            <w:r w:rsidRPr="00FA741B">
              <w:t>structures terminology and conventions</w:t>
            </w:r>
          </w:p>
          <w:p w:rsidR="00000000" w:rsidRPr="00FA741B" w:rsidP="00FA741B">
            <w:pPr>
              <w:pStyle w:val="ListBullet"/>
            </w:pPr>
            <w:r w:rsidRPr="00FA741B">
              <w:t>types of structures defects</w:t>
            </w:r>
          </w:p>
          <w:p w:rsidR="00000000" w:rsidRPr="00FA741B" w:rsidP="00FA741B">
            <w:pPr>
              <w:pStyle w:val="ListBullet"/>
            </w:pPr>
            <w:r w:rsidRPr="00FA741B">
              <w:t>workplace procedures for locating defects in structures.</w:t>
            </w:r>
          </w:p>
        </w:tc>
      </w:tr>
    </w:tbl>
    <w:p w:rsidR="00000000" w:rsidRPr="00FA741B" w:rsidP="00FA741B">
      <w:pPr>
        <w:pStyle w:val="NoPaddingFontSize1"/>
      </w:pPr>
    </w:p>
    <w:p w:rsidR="00000000" w:rsidRPr="00FA741B" w:rsidP="00FA741B">
      <w:pPr>
        <w:pStyle w:val="AllowPageBreak"/>
      </w:pPr>
    </w:p>
    <w:p w:rsidR="00000000" w:rsidRPr="00FA741B" w:rsidP="00FA741B">
      <w:pPr>
        <w:pStyle w:val="Heading1"/>
      </w:pPr>
      <w:bookmarkStart w:id="4" w:name="O_1118359"/>
      <w:bookmarkEnd w:id="4"/>
      <w:r w:rsidRPr="00FA74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4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41B" w:rsidP="00FA741B">
            <w:pPr>
              <w:pStyle w:val="BodyText"/>
            </w:pPr>
            <w:r w:rsidRPr="00FA741B">
              <w:t>Assessors must hold credentia</w:t>
            </w:r>
            <w:r w:rsidRPr="00FA741B">
              <w:t xml:space="preserve">ls specified within the Standards for Registered Training Organisations current at the time of assessment. </w:t>
            </w:r>
          </w:p>
          <w:p w:rsidR="00000000" w:rsidRPr="00FA741B" w:rsidP="00FA741B">
            <w:pPr>
              <w:pStyle w:val="BodyText"/>
            </w:pPr>
            <w:r w:rsidRPr="00FA741B">
              <w:t>Assessment must satisfy the Principles of Assessment and Rules of Evidence and all regulatory requirements included within the Standards for Registe</w:t>
            </w:r>
            <w:r w:rsidRPr="00FA741B">
              <w:t>red Training Organisations current at the time of assessment.</w:t>
            </w:r>
          </w:p>
          <w:p w:rsidR="00000000" w:rsidRPr="00FA741B" w:rsidP="00FA741B">
            <w:pPr>
              <w:pStyle w:val="BodyText"/>
            </w:pPr>
            <w:r w:rsidRPr="00FA741B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FA741B" w:rsidP="00FA741B">
            <w:pPr>
              <w:pStyle w:val="BodyText"/>
            </w:pPr>
            <w:r w:rsidRPr="00FA741B">
              <w:t>Assessment processes</w:t>
            </w:r>
            <w:r w:rsidRPr="00FA741B">
              <w:t xml:space="preserve"> and techniques must be appropriate to the language, literacy and numeracy requirements of the work being performed and the needs of the candidate.</w:t>
            </w:r>
          </w:p>
          <w:p w:rsidR="00000000" w:rsidRPr="00FA741B" w:rsidP="00FA741B">
            <w:pPr>
              <w:pStyle w:val="BodyText"/>
            </w:pPr>
            <w:r w:rsidRPr="00FA741B">
              <w:t>Resources for assessment must include access to:</w:t>
            </w:r>
          </w:p>
          <w:p w:rsidR="00000000" w:rsidRPr="00FA741B" w:rsidP="00FA741B">
            <w:pPr>
              <w:pStyle w:val="ListBullet"/>
            </w:pPr>
            <w:r w:rsidRPr="00FA741B">
              <w:t>a range of relevant exercises, case studies and/or simulat</w:t>
            </w:r>
            <w:r w:rsidRPr="00FA741B">
              <w:t>ions</w:t>
            </w:r>
          </w:p>
          <w:p w:rsidR="00000000" w:rsidRPr="00FA741B" w:rsidP="00FA741B">
            <w:pPr>
              <w:pStyle w:val="ListBullet"/>
            </w:pPr>
            <w:r w:rsidRPr="00FA741B">
              <w:t>relevant and appropriate materials, tools, equipment and personal protective equipment (PPE) currently used in industry</w:t>
            </w:r>
          </w:p>
          <w:p w:rsidR="00000000" w:rsidRPr="00FA741B" w:rsidP="00FA741B">
            <w:pPr>
              <w:pStyle w:val="ListBullet"/>
            </w:pPr>
            <w:r w:rsidRPr="00FA741B">
              <w:t>applicable documentation including workplace procedures, regulations, rail industry standards, codes of practice and operation manu</w:t>
            </w:r>
            <w:r w:rsidRPr="00FA741B">
              <w:t>als.</w:t>
            </w:r>
          </w:p>
        </w:tc>
      </w:tr>
    </w:tbl>
    <w:p w:rsidR="00000000" w:rsidRPr="00FA741B" w:rsidP="00FA741B">
      <w:pPr>
        <w:pStyle w:val="NoPaddingFontSize1"/>
      </w:pPr>
    </w:p>
    <w:p w:rsidR="00000000" w:rsidRPr="00FA741B" w:rsidP="00FA741B">
      <w:pPr>
        <w:pStyle w:val="AllowPageBreak"/>
      </w:pPr>
    </w:p>
    <w:p w:rsidR="00000000" w:rsidRPr="00FA741B" w:rsidP="00FA741B">
      <w:pPr>
        <w:pStyle w:val="Heading1"/>
      </w:pPr>
      <w:bookmarkStart w:id="5" w:name="O_1118374"/>
      <w:bookmarkEnd w:id="5"/>
      <w:r w:rsidRPr="00FA741B">
        <w:t>Links</w:t>
      </w:r>
    </w:p>
    <w:p w:rsidR="00000000" w:rsidRPr="00FA741B" w:rsidP="00B6299B">
      <w:pPr>
        <w:pStyle w:val="BodyText"/>
      </w:pPr>
      <w:r w:rsidRPr="00FA74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80E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A741B" w:rsidP="00FA741B"/>
    <w:sectPr w:rsidSect="00FA74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1B" w:rsidRPr="00B6299B" w:rsidP="00B62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9B" w:rsidP="00FA7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299B" w:rsidP="00FA7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6299B" w:rsidP="00FA74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41B" w:rsidRPr="00B6299B" w:rsidP="00B62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99B" w:rsidRPr="002D2AF8" w:rsidP="00FA7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TLIB2086 Apply awareness of structures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6299B" w:rsidP="00FA74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C4C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EE0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4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4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4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4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4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4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4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4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4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4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4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41B"/>
  </w:style>
  <w:style w:type="character" w:customStyle="1" w:styleId="Heading1Char">
    <w:name w:val="Heading 1 Char"/>
    <w:basedOn w:val="DefaultParagraphFont"/>
    <w:link w:val="Heading1"/>
    <w:rsid w:val="00FA74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4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4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4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41B"/>
    <w:rPr>
      <w:b/>
      <w:spacing w:val="0"/>
    </w:rPr>
  </w:style>
  <w:style w:type="paragraph" w:customStyle="1" w:styleId="SuperHeading">
    <w:name w:val="SuperHeading"/>
    <w:basedOn w:val="Normal"/>
    <w:rsid w:val="00FA74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4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74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4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4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4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4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4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4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4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4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4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4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4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4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4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4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4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4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4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4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4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4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4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4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4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4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4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4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4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4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41B"/>
    <w:rPr>
      <w:i/>
    </w:rPr>
  </w:style>
  <w:style w:type="paragraph" w:styleId="Caption">
    <w:name w:val="caption"/>
    <w:basedOn w:val="BodyText"/>
    <w:next w:val="Normal"/>
    <w:qFormat/>
    <w:rsid w:val="00FA74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4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4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41B"/>
  </w:style>
  <w:style w:type="paragraph" w:styleId="TableofFigures">
    <w:name w:val="table of figures"/>
    <w:basedOn w:val="Normal"/>
    <w:next w:val="Normal"/>
    <w:semiHidden/>
    <w:rsid w:val="00FA74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4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741B"/>
    <w:rPr>
      <w:rFonts w:ascii="Wingdings" w:hAnsi="Wingdings"/>
    </w:rPr>
  </w:style>
  <w:style w:type="paragraph" w:customStyle="1" w:styleId="TableHeading">
    <w:name w:val="Table Heading"/>
    <w:basedOn w:val="HeadingBase"/>
    <w:rsid w:val="00FA74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41B"/>
    <w:rPr>
      <w:color w:val="0033CC"/>
      <w:u w:val="none"/>
    </w:rPr>
  </w:style>
  <w:style w:type="paragraph" w:customStyle="1" w:styleId="BodyTextRight">
    <w:name w:val="Body Text Right"/>
    <w:basedOn w:val="BodyText"/>
    <w:rsid w:val="00FA74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4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4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4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4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4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41B"/>
    <w:rPr>
      <w:sz w:val="32"/>
    </w:rPr>
  </w:style>
  <w:style w:type="paragraph" w:customStyle="1" w:styleId="HeadingProcedure">
    <w:name w:val="Heading Procedure"/>
    <w:basedOn w:val="HeadingBase"/>
    <w:next w:val="Normal"/>
    <w:rsid w:val="00FA74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41B"/>
    <w:pPr>
      <w:spacing w:before="60" w:after="60"/>
    </w:pPr>
  </w:style>
  <w:style w:type="paragraph" w:styleId="ListContinue">
    <w:name w:val="List Continue"/>
    <w:basedOn w:val="List"/>
    <w:rsid w:val="00FA741B"/>
    <w:pPr>
      <w:ind w:firstLine="0"/>
    </w:pPr>
  </w:style>
  <w:style w:type="paragraph" w:customStyle="1" w:styleId="ListNote">
    <w:name w:val="List Note"/>
    <w:basedOn w:val="List"/>
    <w:rsid w:val="00FA74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4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4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41B"/>
    <w:rPr>
      <w:rFonts w:ascii="Courier New" w:hAnsi="Courier New"/>
    </w:rPr>
  </w:style>
  <w:style w:type="paragraph" w:customStyle="1" w:styleId="NoteBullet">
    <w:name w:val="Note Bullet"/>
    <w:basedOn w:val="Note"/>
    <w:rsid w:val="00FA74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4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4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4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4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4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4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41B"/>
    <w:rPr>
      <w:b/>
      <w:smallCaps/>
    </w:rPr>
  </w:style>
  <w:style w:type="paragraph" w:customStyle="1" w:styleId="TableListNumber">
    <w:name w:val="Table List Number"/>
    <w:basedOn w:val="ListNumber"/>
    <w:rsid w:val="00FA74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4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41B"/>
    <w:pPr>
      <w:numPr>
        <w:numId w:val="8"/>
      </w:numPr>
    </w:pPr>
  </w:style>
  <w:style w:type="paragraph" w:customStyle="1" w:styleId="ListAlpha2">
    <w:name w:val="List Alpha 2"/>
    <w:basedOn w:val="List2"/>
    <w:rsid w:val="00FA741B"/>
    <w:pPr>
      <w:numPr>
        <w:numId w:val="7"/>
      </w:numPr>
    </w:pPr>
  </w:style>
  <w:style w:type="paragraph" w:styleId="List2">
    <w:name w:val="List 2"/>
    <w:basedOn w:val="BodyText"/>
    <w:rsid w:val="00FA74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4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4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4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4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4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741B"/>
    <w:pPr>
      <w:numPr>
        <w:numId w:val="3"/>
      </w:numPr>
    </w:pPr>
  </w:style>
  <w:style w:type="paragraph" w:styleId="ListContinue2">
    <w:name w:val="List Continue 2"/>
    <w:basedOn w:val="List2"/>
    <w:rsid w:val="00FA741B"/>
    <w:pPr>
      <w:ind w:firstLine="0"/>
    </w:pPr>
  </w:style>
  <w:style w:type="paragraph" w:styleId="ListContinue3">
    <w:name w:val="List Continue 3"/>
    <w:basedOn w:val="List3"/>
    <w:rsid w:val="00FA741B"/>
    <w:pPr>
      <w:ind w:left="1021" w:firstLine="0"/>
    </w:pPr>
  </w:style>
  <w:style w:type="paragraph" w:styleId="ListContinue4">
    <w:name w:val="List Continue 4"/>
    <w:basedOn w:val="List4"/>
    <w:rsid w:val="00FA741B"/>
    <w:pPr>
      <w:ind w:firstLine="0"/>
    </w:pPr>
  </w:style>
  <w:style w:type="paragraph" w:styleId="ListContinue5">
    <w:name w:val="List Continue 5"/>
    <w:basedOn w:val="List5"/>
    <w:rsid w:val="00FA741B"/>
    <w:pPr>
      <w:ind w:firstLine="0"/>
    </w:pPr>
  </w:style>
  <w:style w:type="paragraph" w:styleId="ListNumber3">
    <w:name w:val="List Number 3"/>
    <w:basedOn w:val="List3"/>
    <w:rsid w:val="00FA741B"/>
    <w:pPr>
      <w:numPr>
        <w:numId w:val="4"/>
      </w:numPr>
    </w:pPr>
  </w:style>
  <w:style w:type="paragraph" w:styleId="ListNumber4">
    <w:name w:val="List Number 4"/>
    <w:basedOn w:val="List4"/>
    <w:rsid w:val="00FA741B"/>
    <w:pPr>
      <w:numPr>
        <w:numId w:val="5"/>
      </w:numPr>
    </w:pPr>
  </w:style>
  <w:style w:type="paragraph" w:styleId="ListNumber5">
    <w:name w:val="List Number 5"/>
    <w:basedOn w:val="List5"/>
    <w:rsid w:val="00FA741B"/>
    <w:pPr>
      <w:numPr>
        <w:numId w:val="6"/>
      </w:numPr>
    </w:pPr>
  </w:style>
  <w:style w:type="paragraph" w:styleId="BlockText">
    <w:name w:val="Block Text"/>
    <w:basedOn w:val="Normal"/>
    <w:rsid w:val="00FA74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4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41B"/>
    <w:rPr>
      <w:sz w:val="16"/>
      <w:vertAlign w:val="superscript"/>
    </w:rPr>
  </w:style>
  <w:style w:type="character" w:customStyle="1" w:styleId="Symbols">
    <w:name w:val="Symbols"/>
    <w:basedOn w:val="DefaultParagraphFont"/>
    <w:rsid w:val="00FA741B"/>
    <w:rPr>
      <w:rFonts w:ascii="Symbol" w:hAnsi="Symbol"/>
    </w:rPr>
  </w:style>
  <w:style w:type="character" w:customStyle="1" w:styleId="MenuOptions">
    <w:name w:val="Menu Options"/>
    <w:basedOn w:val="DefaultParagraphFont"/>
    <w:rsid w:val="00FA74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41B"/>
    <w:rPr>
      <w:b/>
    </w:rPr>
  </w:style>
  <w:style w:type="character" w:customStyle="1" w:styleId="Underlined">
    <w:name w:val="Underlined"/>
    <w:basedOn w:val="DefaultParagraphFont"/>
    <w:rsid w:val="00FA741B"/>
    <w:rPr>
      <w:u w:val="single"/>
    </w:rPr>
  </w:style>
  <w:style w:type="paragraph" w:customStyle="1" w:styleId="TableBodyTextRight">
    <w:name w:val="Table Body Text Right"/>
    <w:basedOn w:val="TableBodyText"/>
    <w:rsid w:val="00FA74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41B"/>
    <w:rPr>
      <w:sz w:val="18"/>
    </w:rPr>
  </w:style>
  <w:style w:type="paragraph" w:customStyle="1" w:styleId="BodySmallRight">
    <w:name w:val="Body Small Right"/>
    <w:basedOn w:val="BodyTextRight"/>
    <w:rsid w:val="00FA741B"/>
    <w:rPr>
      <w:sz w:val="18"/>
      <w:szCs w:val="18"/>
    </w:rPr>
  </w:style>
  <w:style w:type="paragraph" w:customStyle="1" w:styleId="MarginEdition">
    <w:name w:val="Margin Edition"/>
    <w:basedOn w:val="MarginNote"/>
    <w:rsid w:val="00FA74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41B"/>
    <w:rPr>
      <w:sz w:val="2"/>
      <w:szCs w:val="2"/>
    </w:rPr>
  </w:style>
  <w:style w:type="character" w:customStyle="1" w:styleId="Small">
    <w:name w:val="Small"/>
    <w:basedOn w:val="DefaultParagraphFont"/>
    <w:rsid w:val="00FA741B"/>
    <w:rPr>
      <w:sz w:val="16"/>
    </w:rPr>
  </w:style>
  <w:style w:type="paragraph" w:customStyle="1" w:styleId="WideTable">
    <w:name w:val="Wide Table"/>
    <w:basedOn w:val="Normal"/>
    <w:rsid w:val="00FA74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41B"/>
  </w:style>
  <w:style w:type="paragraph" w:styleId="Quote">
    <w:name w:val="Quote"/>
    <w:basedOn w:val="Heading1"/>
    <w:link w:val="QuoteChar"/>
    <w:qFormat/>
    <w:rsid w:val="00FA74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4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41B"/>
    <w:pPr>
      <w:pageBreakBefore/>
    </w:pPr>
  </w:style>
  <w:style w:type="paragraph" w:customStyle="1" w:styleId="Border">
    <w:name w:val="Border"/>
    <w:basedOn w:val="Normal"/>
    <w:qFormat/>
    <w:rsid w:val="00FA74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4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4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4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4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4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4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4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4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41B"/>
    <w:rPr>
      <w:u w:val="single"/>
    </w:rPr>
  </w:style>
  <w:style w:type="character" w:customStyle="1" w:styleId="BoldandItalics">
    <w:name w:val="Bold and Italics"/>
    <w:qFormat/>
    <w:rsid w:val="00FA741B"/>
    <w:rPr>
      <w:b/>
      <w:i/>
      <w:u w:val="none"/>
    </w:rPr>
  </w:style>
  <w:style w:type="paragraph" w:styleId="BalloonText">
    <w:name w:val="Balloon Text"/>
    <w:basedOn w:val="Normal"/>
    <w:link w:val="BalloonTextChar"/>
    <w:rsid w:val="00FA74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4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4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4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4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4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41B"/>
    <w:pPr>
      <w:spacing w:before="0" w:after="0"/>
    </w:pPr>
  </w:style>
  <w:style w:type="paragraph" w:customStyle="1" w:styleId="BodyTextBold">
    <w:name w:val="Body Text Bold"/>
    <w:basedOn w:val="BodyText"/>
    <w:qFormat/>
    <w:rsid w:val="00FA741B"/>
    <w:rPr>
      <w:b/>
    </w:rPr>
  </w:style>
  <w:style w:type="character" w:styleId="Hyperlink">
    <w:name w:val="Hyperlink"/>
    <w:basedOn w:val="DefaultParagraphFont"/>
    <w:uiPriority w:val="99"/>
    <w:unhideWhenUsed/>
    <w:rsid w:val="00B62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2888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TLIB2086 Apply awareness of structures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