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9DE" w:rsidP="007B49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TLIB2085 Apply track fundamentals</w:t>
      </w:r>
      <w:r>
        <w:fldChar w:fldCharType="end"/>
      </w:r>
    </w:p>
    <w:p w:rsidR="007B49DE" w:rsidP="007B49DE">
      <w:pPr>
        <w:pStyle w:val="Version"/>
        <w:sectPr w:rsidSect="00296E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6EE2" w:rsidP="00296EE2">
      <w:pPr>
        <w:pStyle w:val="SuperHeading"/>
      </w:pPr>
      <w:r w:rsidRPr="00296EE2">
        <w:t>TLIB2085 Apply track fundamentals</w:t>
      </w:r>
    </w:p>
    <w:p w:rsidR="00000000" w:rsidRPr="00296EE2" w:rsidP="00296EE2">
      <w:pPr>
        <w:pStyle w:val="Heading1"/>
      </w:pPr>
      <w:bookmarkStart w:id="1" w:name="O_1118354"/>
      <w:bookmarkEnd w:id="1"/>
      <w:r w:rsidRPr="00296E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 w:rsidP="00296EE2">
            <w:pPr>
              <w:pStyle w:val="BodyText"/>
            </w:pPr>
            <w:r w:rsidRPr="00296EE2">
              <w:rPr>
                <w:rStyle w:val="SpecialBold"/>
              </w:rPr>
              <w:t>Release 2</w:t>
            </w:r>
            <w:r w:rsidRPr="00296EE2">
              <w:t>. This is the second release of this unit of competency in the TLI Transport and Logistics Training Package:</w:t>
            </w:r>
          </w:p>
          <w:p w:rsidR="00000000" w:rsidRPr="00296EE2" w:rsidP="00296EE2">
            <w:pPr>
              <w:pStyle w:val="ListBullet"/>
            </w:pPr>
            <w:r w:rsidRPr="00296EE2">
              <w:t>Minor statement changes in Performance Evidence</w:t>
            </w:r>
          </w:p>
          <w:p w:rsidR="00000000" w:rsidP="00296EE2">
            <w:pPr>
              <w:pStyle w:val="ListBullet"/>
              <w:rPr>
                <w:lang w:val="en-NZ"/>
              </w:rPr>
            </w:pPr>
            <w:r w:rsidRPr="00296EE2">
              <w:t>Minor statement changes in Assessment Conditions.</w:t>
            </w:r>
          </w:p>
        </w:tc>
      </w:tr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 w:rsidP="00296EE2">
            <w:pPr>
              <w:pStyle w:val="BodyText"/>
            </w:pPr>
            <w:r w:rsidRPr="00296EE2">
              <w:rPr>
                <w:rStyle w:val="SpecialBold"/>
              </w:rPr>
              <w:t>Release 1</w:t>
            </w:r>
            <w:r w:rsidRPr="00296EE2">
              <w:t>. This i</w:t>
            </w:r>
            <w:r w:rsidRPr="00296EE2">
              <w:t>s the first release of this unit of competency in the TLI Transport and Logistics Training Package.</w:t>
            </w:r>
          </w:p>
        </w:tc>
      </w:tr>
    </w:tbl>
    <w:p w:rsidR="00000000" w:rsidRPr="00296EE2" w:rsidP="00296EE2">
      <w:pPr>
        <w:pStyle w:val="NoPaddingFontSize1"/>
      </w:pPr>
    </w:p>
    <w:p w:rsidR="00000000" w:rsidRPr="00296EE2" w:rsidP="00296EE2">
      <w:pPr>
        <w:pStyle w:val="AllowPageBreak"/>
      </w:pPr>
    </w:p>
    <w:p w:rsidR="00000000" w:rsidRPr="00296EE2" w:rsidP="00296EE2">
      <w:pPr>
        <w:pStyle w:val="Heading1"/>
      </w:pPr>
      <w:bookmarkStart w:id="2" w:name="O_1118353"/>
      <w:bookmarkEnd w:id="2"/>
      <w:r w:rsidRPr="00296EE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 w:rsidP="00296EE2">
            <w:pPr>
              <w:pStyle w:val="BodyText"/>
            </w:pPr>
            <w:r w:rsidRPr="00296EE2">
              <w:t>This unit involves the skills and knowledge required to apply fundamentals of track maintenance and construction, and to ca</w:t>
            </w:r>
            <w:r w:rsidRPr="00296EE2">
              <w:t>rry out basic track measurement, in accordance with approved rail industry standards, safeworking and regulatory requirements, and workplace procedures.</w:t>
            </w:r>
          </w:p>
          <w:p w:rsidR="00000000" w:rsidRPr="00296EE2" w:rsidP="00296EE2">
            <w:pPr>
              <w:pStyle w:val="BodyText"/>
            </w:pPr>
            <w:r w:rsidRPr="00296EE2">
              <w:t>It includes identifying track terminology, track components and track tools and equipment; and undertak</w:t>
            </w:r>
            <w:r w:rsidRPr="00296EE2">
              <w:t>ing basic track measurement.</w:t>
            </w:r>
          </w:p>
          <w:p w:rsidR="00000000" w:rsidRPr="00296EE2" w:rsidP="00296EE2">
            <w:pPr>
              <w:pStyle w:val="BodyText"/>
            </w:pPr>
            <w:r w:rsidRPr="00296EE2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296EE2" w:rsidP="00296EE2">
            <w:pPr>
              <w:pStyle w:val="BodyText"/>
            </w:pPr>
            <w:r w:rsidRPr="00296EE2">
              <w:t>Work is performed under some super</w:t>
            </w:r>
            <w:r w:rsidRPr="00296EE2">
              <w:t>vision, generally within a team environment. It involves the application of routine operational principles and procedures to the fundamentals of track maintenance and construction, as part of workplace activities across a variety of operational contexts wi</w:t>
            </w:r>
            <w:r w:rsidRPr="00296EE2">
              <w:t>thin the Australian rail system.</w:t>
            </w:r>
          </w:p>
          <w:p w:rsidR="00000000" w:rsidRPr="00296EE2" w:rsidP="00296EE2">
            <w:pPr>
              <w:pStyle w:val="BodyText"/>
            </w:pPr>
            <w:r w:rsidRPr="00296EE2">
              <w:t>No licensing, legislative or certification requirements apply to this unit at the time of publication.</w:t>
            </w:r>
          </w:p>
        </w:tc>
      </w:tr>
    </w:tbl>
    <w:p w:rsidR="00000000" w:rsidRPr="00296EE2" w:rsidP="00296EE2">
      <w:pPr>
        <w:pStyle w:val="NoPaddingFontSize1"/>
      </w:pPr>
    </w:p>
    <w:p w:rsidR="00000000" w:rsidRPr="00296EE2" w:rsidP="00296EE2">
      <w:pPr>
        <w:pStyle w:val="AllowPageBreak"/>
      </w:pPr>
    </w:p>
    <w:p w:rsidR="00000000" w:rsidRPr="00296EE2" w:rsidP="00296EE2">
      <w:pPr>
        <w:pStyle w:val="Heading1"/>
      </w:pPr>
      <w:bookmarkStart w:id="3" w:name="O_1118352"/>
      <w:bookmarkEnd w:id="3"/>
      <w:r w:rsidRPr="00296EE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 w:rsidP="00296EE2">
            <w:pPr>
              <w:pStyle w:val="BodyText"/>
            </w:pPr>
            <w:r w:rsidRPr="00296EE2">
              <w:t>Not applicable.</w:t>
            </w:r>
          </w:p>
        </w:tc>
      </w:tr>
    </w:tbl>
    <w:p w:rsidR="00000000" w:rsidRPr="00296EE2" w:rsidP="00296EE2">
      <w:pPr>
        <w:pStyle w:val="NoPaddingFontSize1"/>
      </w:pPr>
    </w:p>
    <w:p w:rsidR="00000000" w:rsidRPr="00296EE2" w:rsidP="00296EE2">
      <w:pPr>
        <w:pStyle w:val="AllowPageBreak"/>
      </w:pPr>
    </w:p>
    <w:p w:rsidR="00000000" w:rsidRPr="00296EE2" w:rsidP="00296EE2">
      <w:pPr>
        <w:pStyle w:val="Heading1"/>
      </w:pPr>
      <w:bookmarkStart w:id="4" w:name="O_1118351"/>
      <w:bookmarkEnd w:id="4"/>
      <w:r w:rsidRPr="00296EE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 w:rsidP="00296EE2">
            <w:pPr>
              <w:pStyle w:val="BodyText"/>
            </w:pPr>
            <w:r w:rsidRPr="00296EE2">
              <w:t>B –</w:t>
            </w:r>
            <w:r w:rsidRPr="00296EE2">
              <w:t xml:space="preserve"> Equipment Checking and Maintenance</w:t>
            </w:r>
          </w:p>
        </w:tc>
      </w:tr>
    </w:tbl>
    <w:p w:rsidR="00000000" w:rsidRPr="00296EE2" w:rsidP="00296EE2">
      <w:pPr>
        <w:pStyle w:val="NoPaddingFontSize1"/>
      </w:pPr>
    </w:p>
    <w:p w:rsidR="00000000" w:rsidRPr="00296EE2" w:rsidP="00296EE2">
      <w:pPr>
        <w:pStyle w:val="AllowPageBreak"/>
      </w:pPr>
    </w:p>
    <w:p w:rsidR="00000000" w:rsidRPr="00296EE2" w:rsidP="00296EE2">
      <w:pPr>
        <w:pStyle w:val="Heading1"/>
      </w:pPr>
      <w:bookmarkStart w:id="5" w:name="O_1118350"/>
      <w:bookmarkEnd w:id="5"/>
      <w:r w:rsidRPr="00296EE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 w:rsidP="00296EE2">
            <w:pPr>
              <w:pStyle w:val="BodyText"/>
            </w:pPr>
            <w:r w:rsidRPr="00296EE2">
              <w:t>Rail sector.</w:t>
            </w:r>
          </w:p>
        </w:tc>
      </w:tr>
    </w:tbl>
    <w:p w:rsidR="00000000" w:rsidRPr="00296EE2" w:rsidP="00296EE2">
      <w:pPr>
        <w:pStyle w:val="NoPaddingFontSize1"/>
      </w:pPr>
    </w:p>
    <w:p w:rsidR="00000000" w:rsidRPr="00296EE2" w:rsidP="00296EE2">
      <w:pPr>
        <w:pStyle w:val="AllowPageBreak"/>
      </w:pPr>
    </w:p>
    <w:p w:rsidR="00000000" w:rsidRPr="00296EE2" w:rsidP="00296EE2">
      <w:pPr>
        <w:pStyle w:val="Heading1"/>
      </w:pPr>
      <w:bookmarkStart w:id="6" w:name="O_1118349"/>
      <w:bookmarkEnd w:id="6"/>
      <w:r w:rsidRPr="00296EE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 w:rsidP="00296EE2">
            <w:pPr>
              <w:pStyle w:val="BodyText"/>
            </w:pPr>
            <w:r w:rsidRPr="00296EE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rPr>
                <w:rStyle w:val="SpecialBold"/>
              </w:rPr>
              <w:t>PERFORMANCE CRITERIA</w:t>
            </w:r>
          </w:p>
        </w:tc>
      </w:tr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t>Performance criteria describe the performance needed to demonstrate achievement of the element.</w:t>
            </w:r>
          </w:p>
        </w:tc>
      </w:tr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 w:rsidP="00296EE2">
            <w:pPr>
              <w:pStyle w:val="BodyText"/>
            </w:pPr>
            <w:r w:rsidRPr="00296EE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 w:rsidP="00296EE2">
            <w:pPr>
              <w:pStyle w:val="BodyText"/>
            </w:pPr>
            <w:r w:rsidRPr="00296EE2">
              <w:rPr>
                <w:rStyle w:val="SpecialBold"/>
              </w:rPr>
              <w:t>Identify track and structures infrastructure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t>Basic track and structures infrastructure terminology is explained</w:t>
            </w:r>
          </w:p>
        </w:tc>
      </w:tr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t>Track geometry features are explained</w:t>
            </w:r>
          </w:p>
        </w:tc>
      </w:tr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 w:rsidP="00296EE2">
            <w:pPr>
              <w:pStyle w:val="BodyText"/>
            </w:pPr>
            <w:r w:rsidRPr="00296EE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 w:rsidP="00296EE2">
            <w:pPr>
              <w:pStyle w:val="BodyText"/>
            </w:pPr>
            <w:r w:rsidRPr="00296EE2">
              <w:rPr>
                <w:rStyle w:val="SpecialBold"/>
              </w:rPr>
              <w:t>Identify track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t>Principal track components are identified and their purpose is explained</w:t>
            </w:r>
          </w:p>
        </w:tc>
      </w:tr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t>Principal turnout components are identified and their purpose is explained</w:t>
            </w:r>
          </w:p>
        </w:tc>
      </w:tr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 w:rsidP="00296EE2">
            <w:pPr>
              <w:pStyle w:val="BodyText"/>
            </w:pPr>
            <w:r w:rsidRPr="00296EE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 w:rsidP="00296EE2">
            <w:pPr>
              <w:pStyle w:val="BodyText"/>
            </w:pPr>
            <w:r w:rsidRPr="00296EE2">
              <w:rPr>
                <w:rStyle w:val="SpecialBold"/>
              </w:rPr>
              <w:t>Identify track tools and eq</w:t>
            </w:r>
            <w:r w:rsidRPr="00296EE2">
              <w:rPr>
                <w:rStyle w:val="SpecialBold"/>
              </w:rPr>
              <w:t>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t>Tools and equipment for track installation and maintenance are identified</w:t>
            </w:r>
          </w:p>
        </w:tc>
      </w:tr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t>Track machines for track installation and maintenance are identified</w:t>
            </w:r>
          </w:p>
        </w:tc>
      </w:tr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 w:rsidP="00296EE2">
            <w:pPr>
              <w:pStyle w:val="BodyText"/>
            </w:pPr>
            <w:r w:rsidRPr="00296EE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 w:rsidP="00296EE2">
            <w:pPr>
              <w:pStyle w:val="BodyText"/>
            </w:pPr>
            <w:r w:rsidRPr="00296EE2">
              <w:rPr>
                <w:rStyle w:val="SpecialBold"/>
              </w:rPr>
              <w:t>Undertake basic track measurement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t>Terminology for track measurement is identified and defined</w:t>
            </w:r>
          </w:p>
        </w:tc>
      </w:tr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t>Measuring equipment is identified and relevant equipment is selected for taking basic track measurements</w:t>
            </w:r>
          </w:p>
        </w:tc>
      </w:tr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t>Measuring equipment is checked for accuracy</w:t>
            </w:r>
          </w:p>
        </w:tc>
      </w:tr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E2">
            <w:pPr>
              <w:pStyle w:val="BodyText"/>
              <w:rPr>
                <w:lang w:val="en-NZ"/>
              </w:rPr>
            </w:pPr>
            <w:r w:rsidRPr="00296EE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 w:rsidP="00296EE2">
            <w:pPr>
              <w:pStyle w:val="BodyText"/>
            </w:pPr>
            <w:r w:rsidRPr="00296EE2">
              <w:t>Basic track measurements a</w:t>
            </w:r>
            <w:r w:rsidRPr="00296EE2">
              <w:t>re taken accurately and recorded in accordance with workplace requirements</w:t>
            </w:r>
          </w:p>
        </w:tc>
      </w:tr>
    </w:tbl>
    <w:p w:rsidR="00000000" w:rsidRPr="00296EE2" w:rsidP="00296EE2">
      <w:pPr>
        <w:pStyle w:val="NoPaddingFontSize1"/>
      </w:pPr>
    </w:p>
    <w:p w:rsidR="00000000" w:rsidRPr="00296EE2" w:rsidP="00296EE2">
      <w:pPr>
        <w:pStyle w:val="AllowPageBreak"/>
      </w:pPr>
    </w:p>
    <w:p w:rsidR="00000000" w:rsidRPr="00296EE2" w:rsidP="00296EE2">
      <w:pPr>
        <w:pStyle w:val="Heading1"/>
      </w:pPr>
      <w:bookmarkStart w:id="7" w:name="O_1118348"/>
      <w:bookmarkEnd w:id="7"/>
      <w:r w:rsidRPr="00296EE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 w:rsidP="00296EE2">
            <w:pPr>
              <w:pStyle w:val="BodyText"/>
            </w:pPr>
            <w:r w:rsidRPr="00296EE2">
              <w:t>Foundation skills essential to performance are explicit in the performance criteria of this unit of competency.</w:t>
            </w:r>
          </w:p>
        </w:tc>
      </w:tr>
    </w:tbl>
    <w:p w:rsidR="00000000" w:rsidRPr="00296EE2" w:rsidP="00296EE2">
      <w:pPr>
        <w:pStyle w:val="NoPaddingFontSize1"/>
      </w:pPr>
    </w:p>
    <w:p w:rsidR="00000000" w:rsidRPr="00296EE2" w:rsidP="00296EE2">
      <w:pPr>
        <w:pStyle w:val="AllowPageBreak"/>
      </w:pPr>
    </w:p>
    <w:p w:rsidR="00000000" w:rsidRPr="00296EE2" w:rsidP="00296EE2">
      <w:pPr>
        <w:pStyle w:val="Heading1"/>
      </w:pPr>
      <w:bookmarkStart w:id="8" w:name="O_1118347"/>
      <w:bookmarkEnd w:id="8"/>
      <w:r w:rsidRPr="00296EE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 w:rsidP="00296EE2">
            <w:pPr>
              <w:pStyle w:val="BodyText"/>
            </w:pPr>
            <w:r w:rsidRPr="00296EE2">
              <w:t>Range is restricted to essential operating conditions and any other variables essential to the work environment.</w:t>
            </w:r>
          </w:p>
          <w:p w:rsidR="00000000" w:rsidRPr="00296EE2" w:rsidP="00296EE2">
            <w:pPr>
              <w:pStyle w:val="BodyText"/>
            </w:pPr>
            <w:r w:rsidRPr="00296EE2">
              <w:t>Non-essential conditions can be found in the TLI Transport and Logistics Training Package Companion Volume Implementation G</w:t>
            </w:r>
            <w:r w:rsidRPr="00296EE2">
              <w:t>uide.</w:t>
            </w:r>
          </w:p>
        </w:tc>
      </w:tr>
    </w:tbl>
    <w:p w:rsidR="00000000" w:rsidRPr="00296EE2" w:rsidP="00296EE2">
      <w:pPr>
        <w:pStyle w:val="NoPaddingFontSize1"/>
      </w:pPr>
    </w:p>
    <w:p w:rsidR="00000000" w:rsidRPr="00296EE2" w:rsidP="00296EE2">
      <w:pPr>
        <w:pStyle w:val="AllowPageBreak"/>
      </w:pPr>
    </w:p>
    <w:p w:rsidR="00000000" w:rsidRPr="00296EE2" w:rsidP="00296EE2">
      <w:pPr>
        <w:pStyle w:val="Heading1"/>
      </w:pPr>
      <w:bookmarkStart w:id="9" w:name="O_1118346"/>
      <w:bookmarkEnd w:id="9"/>
      <w:r w:rsidRPr="00296EE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E2" w:rsidP="00296EE2">
            <w:pPr>
              <w:pStyle w:val="BodyText"/>
            </w:pPr>
            <w:r w:rsidRPr="00296EE2">
              <w:t>This unit replaces and is equivalent to TLIB2085A Apply track fundamentals.</w:t>
            </w:r>
          </w:p>
        </w:tc>
      </w:tr>
    </w:tbl>
    <w:p w:rsidR="00000000" w:rsidRPr="00296EE2" w:rsidP="00296EE2">
      <w:pPr>
        <w:pStyle w:val="NoPaddingFontSize1"/>
      </w:pPr>
    </w:p>
    <w:p w:rsidR="00000000" w:rsidRPr="00296EE2" w:rsidP="00296EE2">
      <w:pPr>
        <w:pStyle w:val="AllowPageBreak"/>
      </w:pPr>
    </w:p>
    <w:p w:rsidR="00000000" w:rsidRPr="00296EE2" w:rsidP="00296EE2">
      <w:pPr>
        <w:pStyle w:val="Heading1"/>
      </w:pPr>
      <w:bookmarkStart w:id="10" w:name="O_1118355"/>
      <w:bookmarkEnd w:id="10"/>
      <w:r w:rsidRPr="00296EE2">
        <w:t>Links</w:t>
      </w:r>
    </w:p>
    <w:p w:rsidR="00000000" w:rsidRPr="00296EE2" w:rsidP="007B49DE">
      <w:pPr>
        <w:pStyle w:val="BodyText"/>
      </w:pPr>
      <w:r w:rsidRPr="00296E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960B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96EE2" w:rsidP="00296EE2"/>
    <w:sectPr w:rsidSect="00296E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E2" w:rsidRPr="007B49DE" w:rsidP="007B49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9DE" w:rsidP="00296E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49DE" w:rsidP="00296E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B49DE" w:rsidP="00296E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9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EE2" w:rsidRPr="007B49DE" w:rsidP="007B49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9DE" w:rsidRPr="002D2AF8" w:rsidP="00296E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TLIB2085 Apply track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B49DE" w:rsidP="00296E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A83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7E04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E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E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E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E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E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E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E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E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E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E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EE2"/>
  </w:style>
  <w:style w:type="character" w:customStyle="1" w:styleId="Heading1Char">
    <w:name w:val="Heading 1 Char"/>
    <w:basedOn w:val="DefaultParagraphFont"/>
    <w:link w:val="Heading1"/>
    <w:rsid w:val="00296E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E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E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6E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6EE2"/>
    <w:rPr>
      <w:b/>
      <w:spacing w:val="0"/>
    </w:rPr>
  </w:style>
  <w:style w:type="paragraph" w:customStyle="1" w:styleId="SuperHeading">
    <w:name w:val="SuperHeading"/>
    <w:basedOn w:val="Normal"/>
    <w:rsid w:val="00296E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E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6E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E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E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E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E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E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E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E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E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E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E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E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E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E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E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E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E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E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E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6E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6E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E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E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6E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6E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E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E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E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E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E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E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E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E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6EE2"/>
    <w:rPr>
      <w:i/>
    </w:rPr>
  </w:style>
  <w:style w:type="paragraph" w:styleId="Caption">
    <w:name w:val="caption"/>
    <w:basedOn w:val="BodyText"/>
    <w:next w:val="Normal"/>
    <w:qFormat/>
    <w:rsid w:val="00296E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E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E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EE2"/>
  </w:style>
  <w:style w:type="paragraph" w:styleId="TableofFigures">
    <w:name w:val="table of figures"/>
    <w:basedOn w:val="Normal"/>
    <w:next w:val="Normal"/>
    <w:semiHidden/>
    <w:rsid w:val="00296E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E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6EE2"/>
    <w:rPr>
      <w:rFonts w:ascii="Wingdings" w:hAnsi="Wingdings"/>
    </w:rPr>
  </w:style>
  <w:style w:type="paragraph" w:customStyle="1" w:styleId="TableHeading">
    <w:name w:val="Table Heading"/>
    <w:basedOn w:val="HeadingBase"/>
    <w:rsid w:val="00296E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EE2"/>
    <w:rPr>
      <w:color w:val="0033CC"/>
      <w:u w:val="none"/>
    </w:rPr>
  </w:style>
  <w:style w:type="paragraph" w:customStyle="1" w:styleId="BodyTextRight">
    <w:name w:val="Body Text Right"/>
    <w:basedOn w:val="BodyText"/>
    <w:rsid w:val="00296E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E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E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E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E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E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EE2"/>
    <w:rPr>
      <w:sz w:val="32"/>
    </w:rPr>
  </w:style>
  <w:style w:type="paragraph" w:customStyle="1" w:styleId="HeadingProcedure">
    <w:name w:val="Heading Procedure"/>
    <w:basedOn w:val="HeadingBase"/>
    <w:next w:val="Normal"/>
    <w:rsid w:val="00296E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EE2"/>
    <w:pPr>
      <w:spacing w:before="60" w:after="60"/>
    </w:pPr>
  </w:style>
  <w:style w:type="paragraph" w:styleId="ListContinue">
    <w:name w:val="List Continue"/>
    <w:basedOn w:val="List"/>
    <w:rsid w:val="00296EE2"/>
    <w:pPr>
      <w:ind w:firstLine="0"/>
    </w:pPr>
  </w:style>
  <w:style w:type="paragraph" w:customStyle="1" w:styleId="ListNote">
    <w:name w:val="List Note"/>
    <w:basedOn w:val="List"/>
    <w:rsid w:val="00296E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E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E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EE2"/>
    <w:rPr>
      <w:rFonts w:ascii="Courier New" w:hAnsi="Courier New"/>
    </w:rPr>
  </w:style>
  <w:style w:type="paragraph" w:customStyle="1" w:styleId="NoteBullet">
    <w:name w:val="Note Bullet"/>
    <w:basedOn w:val="Note"/>
    <w:rsid w:val="00296E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E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E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E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E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6E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E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EE2"/>
    <w:rPr>
      <w:b/>
      <w:smallCaps/>
    </w:rPr>
  </w:style>
  <w:style w:type="paragraph" w:customStyle="1" w:styleId="TableListNumber">
    <w:name w:val="Table List Number"/>
    <w:basedOn w:val="ListNumber"/>
    <w:rsid w:val="00296E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E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EE2"/>
    <w:pPr>
      <w:numPr>
        <w:numId w:val="8"/>
      </w:numPr>
    </w:pPr>
  </w:style>
  <w:style w:type="paragraph" w:customStyle="1" w:styleId="ListAlpha2">
    <w:name w:val="List Alpha 2"/>
    <w:basedOn w:val="List2"/>
    <w:rsid w:val="00296EE2"/>
    <w:pPr>
      <w:numPr>
        <w:numId w:val="7"/>
      </w:numPr>
    </w:pPr>
  </w:style>
  <w:style w:type="paragraph" w:styleId="List2">
    <w:name w:val="List 2"/>
    <w:basedOn w:val="BodyText"/>
    <w:rsid w:val="00296E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E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E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E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E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E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6EE2"/>
    <w:pPr>
      <w:numPr>
        <w:numId w:val="3"/>
      </w:numPr>
    </w:pPr>
  </w:style>
  <w:style w:type="paragraph" w:styleId="ListContinue2">
    <w:name w:val="List Continue 2"/>
    <w:basedOn w:val="List2"/>
    <w:rsid w:val="00296EE2"/>
    <w:pPr>
      <w:ind w:firstLine="0"/>
    </w:pPr>
  </w:style>
  <w:style w:type="paragraph" w:styleId="ListContinue3">
    <w:name w:val="List Continue 3"/>
    <w:basedOn w:val="List3"/>
    <w:rsid w:val="00296EE2"/>
    <w:pPr>
      <w:ind w:left="1021" w:firstLine="0"/>
    </w:pPr>
  </w:style>
  <w:style w:type="paragraph" w:styleId="ListContinue4">
    <w:name w:val="List Continue 4"/>
    <w:basedOn w:val="List4"/>
    <w:rsid w:val="00296EE2"/>
    <w:pPr>
      <w:ind w:firstLine="0"/>
    </w:pPr>
  </w:style>
  <w:style w:type="paragraph" w:styleId="ListContinue5">
    <w:name w:val="List Continue 5"/>
    <w:basedOn w:val="List5"/>
    <w:rsid w:val="00296EE2"/>
    <w:pPr>
      <w:ind w:firstLine="0"/>
    </w:pPr>
  </w:style>
  <w:style w:type="paragraph" w:styleId="ListNumber3">
    <w:name w:val="List Number 3"/>
    <w:basedOn w:val="List3"/>
    <w:rsid w:val="00296EE2"/>
    <w:pPr>
      <w:numPr>
        <w:numId w:val="4"/>
      </w:numPr>
    </w:pPr>
  </w:style>
  <w:style w:type="paragraph" w:styleId="ListNumber4">
    <w:name w:val="List Number 4"/>
    <w:basedOn w:val="List4"/>
    <w:rsid w:val="00296EE2"/>
    <w:pPr>
      <w:numPr>
        <w:numId w:val="5"/>
      </w:numPr>
    </w:pPr>
  </w:style>
  <w:style w:type="paragraph" w:styleId="ListNumber5">
    <w:name w:val="List Number 5"/>
    <w:basedOn w:val="List5"/>
    <w:rsid w:val="00296EE2"/>
    <w:pPr>
      <w:numPr>
        <w:numId w:val="6"/>
      </w:numPr>
    </w:pPr>
  </w:style>
  <w:style w:type="paragraph" w:styleId="BlockText">
    <w:name w:val="Block Text"/>
    <w:basedOn w:val="Normal"/>
    <w:rsid w:val="00296E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E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EE2"/>
    <w:rPr>
      <w:sz w:val="16"/>
      <w:vertAlign w:val="superscript"/>
    </w:rPr>
  </w:style>
  <w:style w:type="character" w:customStyle="1" w:styleId="Symbols">
    <w:name w:val="Symbols"/>
    <w:basedOn w:val="DefaultParagraphFont"/>
    <w:rsid w:val="00296EE2"/>
    <w:rPr>
      <w:rFonts w:ascii="Symbol" w:hAnsi="Symbol"/>
    </w:rPr>
  </w:style>
  <w:style w:type="character" w:customStyle="1" w:styleId="MenuOptions">
    <w:name w:val="Menu Options"/>
    <w:basedOn w:val="DefaultParagraphFont"/>
    <w:rsid w:val="00296E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EE2"/>
    <w:rPr>
      <w:b/>
    </w:rPr>
  </w:style>
  <w:style w:type="character" w:customStyle="1" w:styleId="Underlined">
    <w:name w:val="Underlined"/>
    <w:basedOn w:val="DefaultParagraphFont"/>
    <w:rsid w:val="00296EE2"/>
    <w:rPr>
      <w:u w:val="single"/>
    </w:rPr>
  </w:style>
  <w:style w:type="paragraph" w:customStyle="1" w:styleId="TableBodyTextRight">
    <w:name w:val="Table Body Text Right"/>
    <w:basedOn w:val="TableBodyText"/>
    <w:rsid w:val="00296E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EE2"/>
    <w:rPr>
      <w:sz w:val="18"/>
    </w:rPr>
  </w:style>
  <w:style w:type="paragraph" w:customStyle="1" w:styleId="BodySmallRight">
    <w:name w:val="Body Small Right"/>
    <w:basedOn w:val="BodyTextRight"/>
    <w:rsid w:val="00296EE2"/>
    <w:rPr>
      <w:sz w:val="18"/>
      <w:szCs w:val="18"/>
    </w:rPr>
  </w:style>
  <w:style w:type="paragraph" w:customStyle="1" w:styleId="MarginEdition">
    <w:name w:val="Margin Edition"/>
    <w:basedOn w:val="MarginNote"/>
    <w:rsid w:val="00296E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EE2"/>
    <w:rPr>
      <w:sz w:val="2"/>
      <w:szCs w:val="2"/>
    </w:rPr>
  </w:style>
  <w:style w:type="character" w:customStyle="1" w:styleId="Small">
    <w:name w:val="Small"/>
    <w:basedOn w:val="DefaultParagraphFont"/>
    <w:rsid w:val="00296EE2"/>
    <w:rPr>
      <w:sz w:val="16"/>
    </w:rPr>
  </w:style>
  <w:style w:type="paragraph" w:customStyle="1" w:styleId="WideTable">
    <w:name w:val="Wide Table"/>
    <w:basedOn w:val="Normal"/>
    <w:rsid w:val="00296E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EE2"/>
  </w:style>
  <w:style w:type="paragraph" w:styleId="Quote">
    <w:name w:val="Quote"/>
    <w:basedOn w:val="Heading1"/>
    <w:link w:val="QuoteChar"/>
    <w:qFormat/>
    <w:rsid w:val="00296E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E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EE2"/>
    <w:pPr>
      <w:pageBreakBefore/>
    </w:pPr>
  </w:style>
  <w:style w:type="paragraph" w:customStyle="1" w:styleId="Border">
    <w:name w:val="Border"/>
    <w:basedOn w:val="Normal"/>
    <w:qFormat/>
    <w:rsid w:val="00296E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E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E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E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E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E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E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E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E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EE2"/>
    <w:rPr>
      <w:u w:val="single"/>
    </w:rPr>
  </w:style>
  <w:style w:type="character" w:customStyle="1" w:styleId="BoldandItalics">
    <w:name w:val="Bold and Italics"/>
    <w:qFormat/>
    <w:rsid w:val="00296EE2"/>
    <w:rPr>
      <w:b/>
      <w:i/>
      <w:u w:val="none"/>
    </w:rPr>
  </w:style>
  <w:style w:type="paragraph" w:styleId="BalloonText">
    <w:name w:val="Balloon Text"/>
    <w:basedOn w:val="Normal"/>
    <w:link w:val="BalloonTextChar"/>
    <w:rsid w:val="00296E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E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E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E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E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E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EE2"/>
    <w:pPr>
      <w:spacing w:before="0" w:after="0"/>
    </w:pPr>
  </w:style>
  <w:style w:type="paragraph" w:customStyle="1" w:styleId="BodyTextBold">
    <w:name w:val="Body Text Bold"/>
    <w:basedOn w:val="BodyText"/>
    <w:qFormat/>
    <w:rsid w:val="00296EE2"/>
    <w:rPr>
      <w:b/>
    </w:rPr>
  </w:style>
  <w:style w:type="character" w:styleId="Hyperlink">
    <w:name w:val="Hyperlink"/>
    <w:basedOn w:val="DefaultParagraphFont"/>
    <w:uiPriority w:val="99"/>
    <w:unhideWhenUsed/>
    <w:rsid w:val="007B49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</Words>
  <Characters>3074</Characters>
  <Application>Microsoft Office Word</Application>
  <DocSecurity>0</DocSecurity>
  <Lines>133</Lines>
  <Paragraphs>75</Paragraphs>
  <ScaleCrop>false</ScaleCrop>
  <Company>Author-it Software Corporation Ltd.</Company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TLIB2085 Apply track fundamentals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2024-07-12T07:44:00Z</dcterms:created>
  <dcterms:modified xsi:type="dcterms:W3CDTF">2024-07-12T07:44:00Z</dcterms:modified>
</cp:coreProperties>
</file>