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39B" w:rsidP="001D1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TLIB2079 Set up and secure a towing situation</w:t>
      </w:r>
      <w:r>
        <w:fldChar w:fldCharType="end"/>
      </w:r>
    </w:p>
    <w:p w:rsidR="001D139B" w:rsidP="001D139B">
      <w:pPr>
        <w:pStyle w:val="Version"/>
        <w:sectPr w:rsidSect="00FC1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1E9D" w:rsidP="00FC1E9D">
      <w:pPr>
        <w:pStyle w:val="SuperHeading"/>
      </w:pPr>
      <w:r w:rsidRPr="00FC1E9D">
        <w:t>TLIB2079 Set up and secure a towing situation</w:t>
      </w:r>
    </w:p>
    <w:p w:rsidR="00000000" w:rsidRPr="00FC1E9D" w:rsidP="00FC1E9D">
      <w:pPr>
        <w:pStyle w:val="Heading1"/>
      </w:pPr>
      <w:bookmarkStart w:id="1" w:name="O_1066621"/>
      <w:bookmarkEnd w:id="1"/>
      <w:r w:rsidRPr="00FC1E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Release 2</w:t>
            </w:r>
            <w:r w:rsidRPr="00FC1E9D">
              <w:t>. This is the second release of this unit of competency in the TLI Transport and Logistics Training Package:</w:t>
            </w:r>
          </w:p>
          <w:p w:rsidR="00000000" w:rsidP="00FC1E9D">
            <w:pPr>
              <w:pStyle w:val="ListBullet"/>
              <w:rPr>
                <w:lang w:val="en-NZ"/>
              </w:rPr>
            </w:pPr>
            <w:r w:rsidRPr="00FC1E9D">
              <w:t>Minor statement changes in Assessment Conditions.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Release 1</w:t>
            </w:r>
            <w:r w:rsidRPr="00FC1E9D">
              <w:t>. This is the first release of this unit of com</w:t>
            </w:r>
            <w:r w:rsidRPr="00FC1E9D">
              <w:t>petency in the TLI Transport and Logistics Training Package.</w:t>
            </w:r>
          </w:p>
        </w:tc>
      </w:tr>
    </w:tbl>
    <w:p w:rsidR="00000000" w:rsidRPr="00FC1E9D" w:rsidP="00FC1E9D">
      <w:pPr>
        <w:pStyle w:val="NoPaddingFontSize1"/>
      </w:pPr>
    </w:p>
    <w:p w:rsidR="00000000" w:rsidRPr="00FC1E9D" w:rsidP="00FC1E9D">
      <w:pPr>
        <w:pStyle w:val="AllowPageBreak"/>
      </w:pPr>
    </w:p>
    <w:p w:rsidR="00000000" w:rsidRPr="00FC1E9D" w:rsidP="00FC1E9D">
      <w:pPr>
        <w:pStyle w:val="Heading1"/>
      </w:pPr>
      <w:bookmarkStart w:id="2" w:name="O_1066620"/>
      <w:bookmarkEnd w:id="2"/>
      <w:r w:rsidRPr="00FC1E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t>This unit involves the skills and knowledge required to plan a towing job and to set up towing with reference to regulations and operating procedures.</w:t>
            </w:r>
          </w:p>
          <w:p w:rsidR="00000000" w:rsidRPr="00FC1E9D" w:rsidP="00FC1E9D">
            <w:pPr>
              <w:pStyle w:val="BodyText"/>
            </w:pPr>
            <w:r w:rsidRPr="00FC1E9D">
              <w:t>It includes</w:t>
            </w:r>
            <w:r w:rsidRPr="00FC1E9D">
              <w:t xml:space="preserve"> obtaining and confirming job instructions, assessing towing requirements, determining a plan of action, and carrying out all required actions to set up and secure a towing situation.</w:t>
            </w:r>
          </w:p>
          <w:p w:rsidR="00000000" w:rsidRPr="00FC1E9D" w:rsidP="00FC1E9D">
            <w:pPr>
              <w:pStyle w:val="BodyText"/>
            </w:pPr>
            <w:r w:rsidRPr="00FC1E9D">
              <w:t>Persons achieving competence in this unit will need to fulfil the applic</w:t>
            </w:r>
            <w:r w:rsidRPr="00FC1E9D">
              <w:t>able work health and safety (WHS)/occupational health and safety (OHS) legislation and other relevant regulations covering setting up and securing a towing situation.</w:t>
            </w:r>
          </w:p>
          <w:p w:rsidR="00000000" w:rsidRPr="00FC1E9D" w:rsidP="00FC1E9D">
            <w:pPr>
              <w:pStyle w:val="BodyText"/>
            </w:pPr>
            <w:r w:rsidRPr="00FC1E9D">
              <w:t>Work is performed under limited supervision.</w:t>
            </w:r>
          </w:p>
          <w:p w:rsidR="00000000" w:rsidRPr="00FC1E9D" w:rsidP="00FC1E9D">
            <w:pPr>
              <w:pStyle w:val="BodyText"/>
            </w:pPr>
            <w:r w:rsidRPr="00FC1E9D">
              <w:t>No licensing, legislative or certification r</w:t>
            </w:r>
            <w:r w:rsidRPr="00FC1E9D">
              <w:t>equirements apply to this unit at the time of publication.</w:t>
            </w:r>
          </w:p>
        </w:tc>
      </w:tr>
    </w:tbl>
    <w:p w:rsidR="00000000" w:rsidRPr="00FC1E9D" w:rsidP="00FC1E9D">
      <w:pPr>
        <w:pStyle w:val="NoPaddingFontSize1"/>
      </w:pPr>
    </w:p>
    <w:p w:rsidR="00000000" w:rsidRPr="00FC1E9D" w:rsidP="00FC1E9D">
      <w:pPr>
        <w:pStyle w:val="AllowPageBreak"/>
      </w:pPr>
    </w:p>
    <w:p w:rsidR="00000000" w:rsidRPr="00FC1E9D" w:rsidP="00FC1E9D">
      <w:pPr>
        <w:pStyle w:val="Heading1"/>
      </w:pPr>
      <w:bookmarkStart w:id="3" w:name="O_1066619"/>
      <w:bookmarkEnd w:id="3"/>
      <w:r w:rsidRPr="00FC1E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t>Not applicable.</w:t>
            </w:r>
          </w:p>
        </w:tc>
      </w:tr>
    </w:tbl>
    <w:p w:rsidR="00000000" w:rsidRPr="00FC1E9D" w:rsidP="00FC1E9D">
      <w:pPr>
        <w:pStyle w:val="NoPaddingFontSize1"/>
      </w:pPr>
    </w:p>
    <w:p w:rsidR="00000000" w:rsidRPr="00FC1E9D" w:rsidP="00FC1E9D">
      <w:pPr>
        <w:pStyle w:val="AllowPageBreak"/>
      </w:pPr>
    </w:p>
    <w:p w:rsidR="00000000" w:rsidRPr="00FC1E9D" w:rsidP="00FC1E9D">
      <w:pPr>
        <w:pStyle w:val="Heading1"/>
      </w:pPr>
      <w:bookmarkStart w:id="4" w:name="O_1066618"/>
      <w:bookmarkEnd w:id="4"/>
      <w:r w:rsidRPr="00FC1E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t>B – Equipment Checking and Maintenance</w:t>
            </w:r>
          </w:p>
        </w:tc>
      </w:tr>
    </w:tbl>
    <w:p w:rsidR="00000000" w:rsidRPr="00FC1E9D" w:rsidP="00FC1E9D">
      <w:pPr>
        <w:pStyle w:val="NoPaddingFontSize1"/>
      </w:pPr>
    </w:p>
    <w:p w:rsidR="00000000" w:rsidRPr="00FC1E9D" w:rsidP="00FC1E9D">
      <w:pPr>
        <w:pStyle w:val="AllowPageBreak"/>
      </w:pPr>
    </w:p>
    <w:p w:rsidR="00000000" w:rsidRPr="00FC1E9D" w:rsidP="00FC1E9D">
      <w:pPr>
        <w:pStyle w:val="Heading1"/>
      </w:pPr>
      <w:bookmarkStart w:id="5" w:name="O_1066617"/>
      <w:bookmarkEnd w:id="5"/>
      <w:r w:rsidRPr="00FC1E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t>Not applicable.</w:t>
            </w:r>
          </w:p>
        </w:tc>
      </w:tr>
    </w:tbl>
    <w:p w:rsidR="00000000" w:rsidRPr="00FC1E9D" w:rsidP="00FC1E9D">
      <w:pPr>
        <w:pStyle w:val="NoPaddingFontSize1"/>
      </w:pPr>
    </w:p>
    <w:p w:rsidR="00000000" w:rsidRPr="00FC1E9D" w:rsidP="00FC1E9D">
      <w:pPr>
        <w:pStyle w:val="AllowPageBreak"/>
      </w:pPr>
    </w:p>
    <w:p w:rsidR="00000000" w:rsidRPr="00FC1E9D" w:rsidP="00FC1E9D">
      <w:pPr>
        <w:pStyle w:val="Heading1"/>
      </w:pPr>
      <w:bookmarkStart w:id="6" w:name="O_1066616"/>
      <w:bookmarkEnd w:id="6"/>
      <w:r w:rsidRPr="00FC1E9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PERFORMANCE CRITERIA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 xml:space="preserve">Elements describe the essential </w:t>
            </w:r>
            <w:r w:rsidRPr="00FC1E9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 xml:space="preserve">Performance criteria describe the performance needed to </w:t>
            </w:r>
            <w:r w:rsidRPr="00FC1E9D">
              <w:t>demonstrate achievement of the element.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Obtain information on towing job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Information on towing job is obtained from base or depot in accordance with operating procedures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Further information on towing requirements is obtained at scene of job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Assess towing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Equipment requirements and techniques to carry out towing job are assessed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Potential hazards that may be experienced at towing site and during towing operation are identified and appropriate precautions and strategies are adopted to manage and contr</w:t>
            </w:r>
            <w:r w:rsidRPr="00FC1E9D">
              <w:t>ol the risks involved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Type of vehicle to be towed is identified and critical aspects of vehicle design are determined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Determine appropriate plan of action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Sequence of action and plan for towing activity and safety and security of persons, veh</w:t>
            </w:r>
            <w:r w:rsidRPr="00FC1E9D">
              <w:t>icles and property are determined in accordance with regulatory requirements and operating procedures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Towing vehicle and associated equipment to carry out job are organised to be available for the work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Set up and secure towing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Setting up and securing of towing situation is carried out in accordance with established action plan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Safety equipment, witches hats and safety signs are deployed in accordance with operating procedures and regulatory requirements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Onlookers a</w:t>
            </w:r>
            <w:r w:rsidRPr="00FC1E9D">
              <w:t>nd other personnel in the vicinity of towing situation are managed in accordance with applicable safety management procedures and security requirements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Vehicle or equipment to be towed is manoeuvred into position using relevant equipment in accordance with operating procedures and regulatory requirements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Vehicle or equipment to be towed is secured using appropriate winches, ropes and cables in acco</w:t>
            </w:r>
            <w:r w:rsidRPr="00FC1E9D">
              <w:t>rdance with relevant load restraint regulations and operating procedures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rPr>
                <w:rStyle w:val="SpecialBold"/>
              </w:rPr>
              <w:t xml:space="preserve">Record and report inspection and testing </w:t>
            </w:r>
            <w:r w:rsidRPr="00FC1E9D">
              <w:rPr>
                <w:rStyle w:val="SpecialBold"/>
              </w:rPr>
              <w:t>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 xml:space="preserve">Assessment of towing situation and action taken are accurately reported in accordance with regulatory </w:t>
            </w:r>
            <w:r w:rsidRPr="00FC1E9D">
              <w:t>requirements, workplace p</w:t>
            </w:r>
            <w:r w:rsidRPr="00FC1E9D">
              <w:t>olicy and industry guidelines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t>Clear, unambiguous and concise records are kept in accordance with workplace procedures</w:t>
            </w:r>
          </w:p>
        </w:tc>
      </w:tr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E9D">
            <w:pPr>
              <w:pStyle w:val="BodyText"/>
              <w:rPr>
                <w:lang w:val="en-NZ"/>
              </w:rPr>
            </w:pPr>
            <w:r w:rsidRPr="00FC1E9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t>Clear reference is made to issues, hazards or incidents that may have arisen when attending towing situation and related act</w:t>
            </w:r>
            <w:r w:rsidRPr="00FC1E9D">
              <w:t>ion taken</w:t>
            </w:r>
          </w:p>
        </w:tc>
      </w:tr>
    </w:tbl>
    <w:p w:rsidR="00000000" w:rsidRPr="00FC1E9D" w:rsidP="00FC1E9D">
      <w:pPr>
        <w:pStyle w:val="NoPaddingFontSize1"/>
      </w:pPr>
    </w:p>
    <w:p w:rsidR="00000000" w:rsidRPr="00FC1E9D" w:rsidP="00FC1E9D">
      <w:pPr>
        <w:pStyle w:val="AllowPageBreak"/>
      </w:pPr>
    </w:p>
    <w:p w:rsidR="00000000" w:rsidRPr="00FC1E9D" w:rsidP="00FC1E9D">
      <w:pPr>
        <w:pStyle w:val="Heading1"/>
      </w:pPr>
      <w:bookmarkStart w:id="7" w:name="O_1066615"/>
      <w:bookmarkEnd w:id="7"/>
      <w:r w:rsidRPr="00FC1E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t>Foundation skills essential to performance are explicit in the performance criteria of this unit of competency.</w:t>
            </w:r>
          </w:p>
        </w:tc>
      </w:tr>
    </w:tbl>
    <w:p w:rsidR="00000000" w:rsidRPr="00FC1E9D" w:rsidP="00FC1E9D">
      <w:pPr>
        <w:pStyle w:val="NoPaddingFontSize1"/>
      </w:pPr>
    </w:p>
    <w:p w:rsidR="00000000" w:rsidRPr="00FC1E9D" w:rsidP="00FC1E9D">
      <w:pPr>
        <w:pStyle w:val="AllowPageBreak"/>
      </w:pPr>
    </w:p>
    <w:p w:rsidR="00000000" w:rsidRPr="00FC1E9D" w:rsidP="00FC1E9D">
      <w:pPr>
        <w:pStyle w:val="Heading1"/>
      </w:pPr>
      <w:bookmarkStart w:id="8" w:name="O_1066614"/>
      <w:bookmarkEnd w:id="8"/>
      <w:r w:rsidRPr="00FC1E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t>Range is restricted to essential operating conditions and any other variables essential to the work environment.</w:t>
            </w:r>
          </w:p>
        </w:tc>
      </w:tr>
    </w:tbl>
    <w:p w:rsidR="00000000" w:rsidRPr="00FC1E9D" w:rsidP="00FC1E9D">
      <w:pPr>
        <w:pStyle w:val="NoPaddingFontSize1"/>
      </w:pPr>
    </w:p>
    <w:p w:rsidR="00000000" w:rsidRPr="00FC1E9D" w:rsidP="00FC1E9D">
      <w:pPr>
        <w:pStyle w:val="AllowPageBreak"/>
      </w:pPr>
    </w:p>
    <w:p w:rsidR="00000000" w:rsidRPr="00FC1E9D" w:rsidP="00FC1E9D">
      <w:pPr>
        <w:pStyle w:val="Heading1"/>
      </w:pPr>
      <w:bookmarkStart w:id="9" w:name="O_1066613"/>
      <w:bookmarkEnd w:id="9"/>
      <w:r w:rsidRPr="00FC1E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1E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E9D" w:rsidP="00FC1E9D">
            <w:pPr>
              <w:pStyle w:val="BodyText"/>
            </w:pPr>
            <w:r w:rsidRPr="00FC1E9D">
              <w:t>This unit replaces and is equivalent to TLIB2079A Set up and secure a towing situation.</w:t>
            </w:r>
          </w:p>
        </w:tc>
      </w:tr>
    </w:tbl>
    <w:p w:rsidR="00000000" w:rsidRPr="00FC1E9D" w:rsidP="00FC1E9D">
      <w:pPr>
        <w:pStyle w:val="NoPaddingFontSize1"/>
      </w:pPr>
    </w:p>
    <w:p w:rsidR="00000000" w:rsidRPr="00FC1E9D" w:rsidP="00FC1E9D">
      <w:pPr>
        <w:pStyle w:val="AllowPageBreak"/>
      </w:pPr>
    </w:p>
    <w:p w:rsidR="00000000" w:rsidRPr="00FC1E9D" w:rsidP="00FC1E9D">
      <w:pPr>
        <w:pStyle w:val="Heading1"/>
      </w:pPr>
      <w:bookmarkStart w:id="10" w:name="O_1066622"/>
      <w:bookmarkEnd w:id="10"/>
      <w:r w:rsidRPr="00FC1E9D">
        <w:t>Links</w:t>
      </w:r>
    </w:p>
    <w:p w:rsidR="00000000" w:rsidRPr="00FC1E9D" w:rsidP="001D139B">
      <w:pPr>
        <w:pStyle w:val="BodyText"/>
      </w:pPr>
      <w:r w:rsidRPr="00FC1E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08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C1E9D" w:rsidP="00FC1E9D"/>
    <w:sectPr w:rsidSect="00FC1E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9D" w:rsidRPr="001D139B" w:rsidP="001D1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9B" w:rsidP="00FC1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39B" w:rsidP="00FC1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D139B" w:rsidP="00FC1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E9D" w:rsidRPr="001D139B" w:rsidP="001D1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9B" w:rsidRPr="002D2AF8" w:rsidP="00FC1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TLIB2079 Set up and secure a towing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D139B" w:rsidP="00FC1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169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5A0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E9D"/>
  </w:style>
  <w:style w:type="character" w:customStyle="1" w:styleId="Heading1Char">
    <w:name w:val="Heading 1 Char"/>
    <w:basedOn w:val="DefaultParagraphFont"/>
    <w:link w:val="Heading1"/>
    <w:rsid w:val="00FC1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E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E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E9D"/>
    <w:rPr>
      <w:b/>
      <w:spacing w:val="0"/>
    </w:rPr>
  </w:style>
  <w:style w:type="paragraph" w:customStyle="1" w:styleId="SuperHeading">
    <w:name w:val="SuperHeading"/>
    <w:basedOn w:val="Normal"/>
    <w:rsid w:val="00FC1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1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E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E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E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E9D"/>
    <w:rPr>
      <w:i/>
    </w:rPr>
  </w:style>
  <w:style w:type="paragraph" w:styleId="Caption">
    <w:name w:val="caption"/>
    <w:basedOn w:val="BodyText"/>
    <w:next w:val="Normal"/>
    <w:qFormat/>
    <w:rsid w:val="00FC1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E9D"/>
  </w:style>
  <w:style w:type="paragraph" w:styleId="TableofFigures">
    <w:name w:val="table of figures"/>
    <w:basedOn w:val="Normal"/>
    <w:next w:val="Normal"/>
    <w:semiHidden/>
    <w:rsid w:val="00FC1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E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1E9D"/>
    <w:rPr>
      <w:rFonts w:ascii="Wingdings" w:hAnsi="Wingdings"/>
    </w:rPr>
  </w:style>
  <w:style w:type="paragraph" w:customStyle="1" w:styleId="TableHeading">
    <w:name w:val="Table Heading"/>
    <w:basedOn w:val="HeadingBase"/>
    <w:rsid w:val="00FC1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E9D"/>
    <w:rPr>
      <w:color w:val="0033CC"/>
      <w:u w:val="none"/>
    </w:rPr>
  </w:style>
  <w:style w:type="paragraph" w:customStyle="1" w:styleId="BodyTextRight">
    <w:name w:val="Body Text Right"/>
    <w:basedOn w:val="BodyText"/>
    <w:rsid w:val="00FC1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E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E9D"/>
    <w:rPr>
      <w:sz w:val="32"/>
    </w:rPr>
  </w:style>
  <w:style w:type="paragraph" w:customStyle="1" w:styleId="HeadingProcedure">
    <w:name w:val="Heading Procedure"/>
    <w:basedOn w:val="HeadingBase"/>
    <w:next w:val="Normal"/>
    <w:rsid w:val="00FC1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E9D"/>
    <w:pPr>
      <w:spacing w:before="60" w:after="60"/>
    </w:pPr>
  </w:style>
  <w:style w:type="paragraph" w:styleId="ListContinue">
    <w:name w:val="List Continue"/>
    <w:basedOn w:val="List"/>
    <w:rsid w:val="00FC1E9D"/>
    <w:pPr>
      <w:ind w:firstLine="0"/>
    </w:pPr>
  </w:style>
  <w:style w:type="paragraph" w:customStyle="1" w:styleId="ListNote">
    <w:name w:val="List Note"/>
    <w:basedOn w:val="List"/>
    <w:rsid w:val="00FC1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E9D"/>
    <w:rPr>
      <w:rFonts w:ascii="Courier New" w:hAnsi="Courier New"/>
    </w:rPr>
  </w:style>
  <w:style w:type="paragraph" w:customStyle="1" w:styleId="NoteBullet">
    <w:name w:val="Note Bullet"/>
    <w:basedOn w:val="Note"/>
    <w:rsid w:val="00FC1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E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E9D"/>
    <w:rPr>
      <w:b/>
      <w:smallCaps/>
    </w:rPr>
  </w:style>
  <w:style w:type="paragraph" w:customStyle="1" w:styleId="TableListNumber">
    <w:name w:val="Table List Number"/>
    <w:basedOn w:val="ListNumber"/>
    <w:rsid w:val="00FC1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E9D"/>
    <w:pPr>
      <w:numPr>
        <w:numId w:val="8"/>
      </w:numPr>
    </w:pPr>
  </w:style>
  <w:style w:type="paragraph" w:customStyle="1" w:styleId="ListAlpha2">
    <w:name w:val="List Alpha 2"/>
    <w:basedOn w:val="List2"/>
    <w:rsid w:val="00FC1E9D"/>
    <w:pPr>
      <w:numPr>
        <w:numId w:val="7"/>
      </w:numPr>
    </w:pPr>
  </w:style>
  <w:style w:type="paragraph" w:styleId="List2">
    <w:name w:val="List 2"/>
    <w:basedOn w:val="BodyText"/>
    <w:rsid w:val="00FC1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E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E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1E9D"/>
    <w:pPr>
      <w:numPr>
        <w:numId w:val="3"/>
      </w:numPr>
    </w:pPr>
  </w:style>
  <w:style w:type="paragraph" w:styleId="ListContinue2">
    <w:name w:val="List Continue 2"/>
    <w:basedOn w:val="List2"/>
    <w:rsid w:val="00FC1E9D"/>
    <w:pPr>
      <w:ind w:firstLine="0"/>
    </w:pPr>
  </w:style>
  <w:style w:type="paragraph" w:styleId="ListContinue3">
    <w:name w:val="List Continue 3"/>
    <w:basedOn w:val="List3"/>
    <w:rsid w:val="00FC1E9D"/>
    <w:pPr>
      <w:ind w:left="1021" w:firstLine="0"/>
    </w:pPr>
  </w:style>
  <w:style w:type="paragraph" w:styleId="ListContinue4">
    <w:name w:val="List Continue 4"/>
    <w:basedOn w:val="List4"/>
    <w:rsid w:val="00FC1E9D"/>
    <w:pPr>
      <w:ind w:firstLine="0"/>
    </w:pPr>
  </w:style>
  <w:style w:type="paragraph" w:styleId="ListContinue5">
    <w:name w:val="List Continue 5"/>
    <w:basedOn w:val="List5"/>
    <w:rsid w:val="00FC1E9D"/>
    <w:pPr>
      <w:ind w:firstLine="0"/>
    </w:pPr>
  </w:style>
  <w:style w:type="paragraph" w:styleId="ListNumber3">
    <w:name w:val="List Number 3"/>
    <w:basedOn w:val="List3"/>
    <w:rsid w:val="00FC1E9D"/>
    <w:pPr>
      <w:numPr>
        <w:numId w:val="4"/>
      </w:numPr>
    </w:pPr>
  </w:style>
  <w:style w:type="paragraph" w:styleId="ListNumber4">
    <w:name w:val="List Number 4"/>
    <w:basedOn w:val="List4"/>
    <w:rsid w:val="00FC1E9D"/>
    <w:pPr>
      <w:numPr>
        <w:numId w:val="5"/>
      </w:numPr>
    </w:pPr>
  </w:style>
  <w:style w:type="paragraph" w:styleId="ListNumber5">
    <w:name w:val="List Number 5"/>
    <w:basedOn w:val="List5"/>
    <w:rsid w:val="00FC1E9D"/>
    <w:pPr>
      <w:numPr>
        <w:numId w:val="6"/>
      </w:numPr>
    </w:pPr>
  </w:style>
  <w:style w:type="paragraph" w:styleId="BlockText">
    <w:name w:val="Block Text"/>
    <w:basedOn w:val="Normal"/>
    <w:rsid w:val="00FC1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E9D"/>
    <w:rPr>
      <w:sz w:val="16"/>
      <w:vertAlign w:val="superscript"/>
    </w:rPr>
  </w:style>
  <w:style w:type="character" w:customStyle="1" w:styleId="Symbols">
    <w:name w:val="Symbols"/>
    <w:basedOn w:val="DefaultParagraphFont"/>
    <w:rsid w:val="00FC1E9D"/>
    <w:rPr>
      <w:rFonts w:ascii="Symbol" w:hAnsi="Symbol"/>
    </w:rPr>
  </w:style>
  <w:style w:type="character" w:customStyle="1" w:styleId="MenuOptions">
    <w:name w:val="Menu Options"/>
    <w:basedOn w:val="DefaultParagraphFont"/>
    <w:rsid w:val="00FC1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E9D"/>
    <w:rPr>
      <w:b/>
    </w:rPr>
  </w:style>
  <w:style w:type="character" w:customStyle="1" w:styleId="Underlined">
    <w:name w:val="Underlined"/>
    <w:basedOn w:val="DefaultParagraphFont"/>
    <w:rsid w:val="00FC1E9D"/>
    <w:rPr>
      <w:u w:val="single"/>
    </w:rPr>
  </w:style>
  <w:style w:type="paragraph" w:customStyle="1" w:styleId="TableBodyTextRight">
    <w:name w:val="Table Body Text Right"/>
    <w:basedOn w:val="TableBodyText"/>
    <w:rsid w:val="00FC1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E9D"/>
    <w:rPr>
      <w:sz w:val="18"/>
    </w:rPr>
  </w:style>
  <w:style w:type="paragraph" w:customStyle="1" w:styleId="BodySmallRight">
    <w:name w:val="Body Small Right"/>
    <w:basedOn w:val="BodyTextRight"/>
    <w:rsid w:val="00FC1E9D"/>
    <w:rPr>
      <w:sz w:val="18"/>
      <w:szCs w:val="18"/>
    </w:rPr>
  </w:style>
  <w:style w:type="paragraph" w:customStyle="1" w:styleId="MarginEdition">
    <w:name w:val="Margin Edition"/>
    <w:basedOn w:val="MarginNote"/>
    <w:rsid w:val="00FC1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E9D"/>
    <w:rPr>
      <w:sz w:val="2"/>
      <w:szCs w:val="2"/>
    </w:rPr>
  </w:style>
  <w:style w:type="character" w:customStyle="1" w:styleId="Small">
    <w:name w:val="Small"/>
    <w:basedOn w:val="DefaultParagraphFont"/>
    <w:rsid w:val="00FC1E9D"/>
    <w:rPr>
      <w:sz w:val="16"/>
    </w:rPr>
  </w:style>
  <w:style w:type="paragraph" w:customStyle="1" w:styleId="WideTable">
    <w:name w:val="Wide Table"/>
    <w:basedOn w:val="Normal"/>
    <w:rsid w:val="00FC1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E9D"/>
  </w:style>
  <w:style w:type="paragraph" w:styleId="Quote">
    <w:name w:val="Quote"/>
    <w:basedOn w:val="Heading1"/>
    <w:link w:val="QuoteChar"/>
    <w:qFormat/>
    <w:rsid w:val="00FC1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E9D"/>
    <w:pPr>
      <w:pageBreakBefore/>
    </w:pPr>
  </w:style>
  <w:style w:type="paragraph" w:customStyle="1" w:styleId="Border">
    <w:name w:val="Border"/>
    <w:basedOn w:val="Normal"/>
    <w:qFormat/>
    <w:rsid w:val="00FC1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E9D"/>
    <w:rPr>
      <w:u w:val="single"/>
    </w:rPr>
  </w:style>
  <w:style w:type="character" w:customStyle="1" w:styleId="BoldandItalics">
    <w:name w:val="Bold and Italics"/>
    <w:qFormat/>
    <w:rsid w:val="00FC1E9D"/>
    <w:rPr>
      <w:b/>
      <w:i/>
      <w:u w:val="none"/>
    </w:rPr>
  </w:style>
  <w:style w:type="paragraph" w:styleId="BalloonText">
    <w:name w:val="Balloon Text"/>
    <w:basedOn w:val="Normal"/>
    <w:link w:val="BalloonTextChar"/>
    <w:rsid w:val="00FC1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E9D"/>
    <w:pPr>
      <w:spacing w:before="0" w:after="0"/>
    </w:pPr>
  </w:style>
  <w:style w:type="paragraph" w:customStyle="1" w:styleId="BodyTextBold">
    <w:name w:val="Body Text Bold"/>
    <w:basedOn w:val="BodyText"/>
    <w:qFormat/>
    <w:rsid w:val="00FC1E9D"/>
    <w:rPr>
      <w:b/>
    </w:rPr>
  </w:style>
  <w:style w:type="character" w:styleId="Hyperlink">
    <w:name w:val="Hyperlink"/>
    <w:basedOn w:val="DefaultParagraphFont"/>
    <w:uiPriority w:val="99"/>
    <w:unhideWhenUsed/>
    <w:rsid w:val="001D1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3769</Characters>
  <Application>Microsoft Office Word</Application>
  <DocSecurity>0</DocSecurity>
  <Lines>171</Lines>
  <Paragraphs>88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TLIB2079 Set up and secure a towing situation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