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FEA" w:rsidP="001F2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TLIB2079 Set up and secure a towing situation</w:t>
      </w:r>
      <w:r>
        <w:fldChar w:fldCharType="end"/>
      </w:r>
    </w:p>
    <w:p w:rsidR="001F2FEA" w:rsidP="001F2FEA">
      <w:pPr>
        <w:pStyle w:val="Version"/>
        <w:sectPr w:rsidSect="00271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FB7" w:rsidP="00271FB7">
      <w:pPr>
        <w:pStyle w:val="SuperHeading"/>
      </w:pPr>
      <w:r w:rsidRPr="00271FB7">
        <w:t>TLIB2079 Set up and secure a towing situation</w:t>
      </w:r>
    </w:p>
    <w:p w:rsidR="00000000" w:rsidRPr="00271FB7" w:rsidP="00271FB7">
      <w:pPr>
        <w:pStyle w:val="Heading1"/>
      </w:pPr>
      <w:bookmarkStart w:id="1" w:name="O_1066621"/>
      <w:bookmarkEnd w:id="1"/>
      <w:r w:rsidRPr="00271F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Release 2</w:t>
            </w:r>
            <w:r w:rsidRPr="00271FB7">
              <w:t>. This is the second release of this unit of competency in the TLI Transport and Logistics Training Package:</w:t>
            </w:r>
          </w:p>
          <w:p w:rsidR="00000000" w:rsidP="00271FB7">
            <w:pPr>
              <w:pStyle w:val="ListBullet"/>
              <w:rPr>
                <w:lang w:val="en-NZ"/>
              </w:rPr>
            </w:pPr>
            <w:r w:rsidRPr="00271FB7">
              <w:t>Minor statement changes in Assessment Conditions.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Release 1</w:t>
            </w:r>
            <w:r w:rsidRPr="00271FB7">
              <w:t>. This is the first release of this unit of com</w:t>
            </w:r>
            <w:r w:rsidRPr="00271FB7">
              <w:t>petency in the TLI Transport and Logistics Training Package.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2" w:name="O_1066620"/>
      <w:bookmarkEnd w:id="2"/>
      <w:r w:rsidRPr="00271F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This unit involves the skills and knowledge required to plan a towing job and to set up towing with reference to regulations and operating procedures.</w:t>
            </w:r>
          </w:p>
          <w:p w:rsidR="00000000" w:rsidRPr="00271FB7" w:rsidP="00271FB7">
            <w:pPr>
              <w:pStyle w:val="BodyText"/>
            </w:pPr>
            <w:r w:rsidRPr="00271FB7">
              <w:t>It includes</w:t>
            </w:r>
            <w:r w:rsidRPr="00271FB7">
              <w:t xml:space="preserve"> obtaining and confirming job instructions, assessing towing requirements, determining a plan of action, and carrying out all required actions to set up and secure a towing situation.</w:t>
            </w:r>
          </w:p>
          <w:p w:rsidR="00000000" w:rsidRPr="00271FB7" w:rsidP="00271FB7">
            <w:pPr>
              <w:pStyle w:val="BodyText"/>
            </w:pPr>
            <w:r w:rsidRPr="00271FB7">
              <w:t>Persons achieving competence in this unit will need to fulfil the applic</w:t>
            </w:r>
            <w:r w:rsidRPr="00271FB7">
              <w:t>able work health and safety (WHS)/occupational health and safety (OHS) legislation and other relevant regulations covering setting up and securing a towing situation.</w:t>
            </w:r>
          </w:p>
          <w:p w:rsidR="00000000" w:rsidRPr="00271FB7" w:rsidP="00271FB7">
            <w:pPr>
              <w:pStyle w:val="BodyText"/>
            </w:pPr>
            <w:r w:rsidRPr="00271FB7">
              <w:t>Work is performed under limited supervision.</w:t>
            </w:r>
          </w:p>
          <w:p w:rsidR="00000000" w:rsidRPr="00271FB7" w:rsidP="00271FB7">
            <w:pPr>
              <w:pStyle w:val="BodyText"/>
            </w:pPr>
            <w:r w:rsidRPr="00271FB7">
              <w:t>No licensing, legislative or certification requirements apply to this unit at the time of publication.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3" w:name="O_1066619"/>
      <w:bookmarkEnd w:id="3"/>
      <w:r w:rsidRPr="00271F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Not applicable.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4" w:name="O_1066618"/>
      <w:bookmarkEnd w:id="4"/>
      <w:r w:rsidRPr="00271F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B – Equipment Checking and Maintenance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5" w:name="O_1066617"/>
      <w:bookmarkEnd w:id="5"/>
      <w:r w:rsidRPr="00271F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Not applicable.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6" w:name="O_1066616"/>
      <w:bookmarkEnd w:id="6"/>
      <w:r w:rsidRPr="00271F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PERFORMANCE CRITERIA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 xml:space="preserve">Elements describe the essential </w:t>
            </w:r>
            <w:r w:rsidRPr="00271FB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 xml:space="preserve">Performance criteria describe the performance needed to </w:t>
            </w:r>
            <w:r w:rsidRPr="00271FB7">
              <w:t>demonstrate achievement of the element.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Obtain information on towing job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Information on towing job is obtained from base or depot in accordance with operating procedures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Further information on towing requirements is obtained at scene of job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Assess towing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Equipment requirements and techniques to carry out towing job are assessed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Potential hazards that may be experienced at towing site and during towing operation are identified and appropriate precautions and strategies are adopted to manage and contr</w:t>
            </w:r>
            <w:r w:rsidRPr="00271FB7">
              <w:t>ol the risks involved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Type of vehicle to be towed is identified and critical aspects of vehicle design are determined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Determine appropriate plan of action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Sequence of action and plan for towing activity and safety and security of persons, veh</w:t>
            </w:r>
            <w:r w:rsidRPr="00271FB7">
              <w:t>icles and property are determined in accordance with regulatory requirements and operating procedures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Towing vehicle and associated equipment to carry out job are organised to be available for the work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Set up and secure towing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Setting up and securing of towing situation is carried out in accordance with established action plan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Safety equipment, witches hats and safety signs are deployed in accordance with operating procedures and regulatory requirements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Onlookers a</w:t>
            </w:r>
            <w:r w:rsidRPr="00271FB7">
              <w:t>nd other personnel in the vicinity of towing situation are managed in accordance with applicable safety management procedures and security requirements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Vehicle or equipment to be towed is manoeuvred into position using re</w:t>
            </w:r>
            <w:r w:rsidRPr="00271FB7">
              <w:t>levant equipment in accordance with operating procedures and regulatory requirements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Vehicle or equipment to be towed is secured using appropriate winches, ropes and cables in accordance with relevant load restraint regulations and operating procedu</w:t>
            </w:r>
            <w:r w:rsidRPr="00271FB7">
              <w:t>res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 xml:space="preserve">Record and report inspection and testing </w:t>
            </w:r>
            <w:r w:rsidRPr="00271FB7">
              <w:rPr>
                <w:rStyle w:val="SpecialBold"/>
              </w:rPr>
              <w:t>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 xml:space="preserve">Assessment of towing situation and action taken are accurately reported in accordance with regulatory </w:t>
            </w:r>
            <w:r w:rsidRPr="00271FB7">
              <w:t>requirements, workplace policy and industry guidelines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t>Clear, unambiguous and concise r</w:t>
            </w:r>
            <w:r w:rsidRPr="00271FB7">
              <w:t>ecords are kept in accordance with workplace procedures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FB7">
            <w:pPr>
              <w:pStyle w:val="BodyText"/>
              <w:rPr>
                <w:lang w:val="en-NZ"/>
              </w:rPr>
            </w:pPr>
            <w:r w:rsidRPr="00271FB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Clear reference is made to issues, hazards or incidents that may have arisen when attending towing situation and related action taken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7" w:name="O_1066615"/>
      <w:bookmarkEnd w:id="7"/>
      <w:r w:rsidRPr="00271F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Foundation skills essential to performance are explicit in the performance criteria of this unit of competency.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8" w:name="O_1066614"/>
      <w:bookmarkEnd w:id="8"/>
      <w:r w:rsidRPr="00271F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Range is restricted to essential operating conditions and any other variables essential to the work env</w:t>
            </w:r>
            <w:r w:rsidRPr="00271FB7">
              <w:t>ironment.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9" w:name="O_1066613"/>
      <w:bookmarkEnd w:id="9"/>
      <w:r w:rsidRPr="00271F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This unit replaces and is equivalent to TLIB2079A Set up and secure a towing situation.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10" w:name="O_1066622"/>
      <w:bookmarkEnd w:id="10"/>
      <w:r w:rsidRPr="00271FB7">
        <w:t>Links</w:t>
      </w:r>
    </w:p>
    <w:p w:rsidR="00000000" w:rsidRPr="00271FB7" w:rsidP="001F2FEA">
      <w:pPr>
        <w:pStyle w:val="BodyText"/>
      </w:pPr>
      <w:r w:rsidRPr="00271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00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1FB7" w:rsidP="001F2FEA">
      <w:pPr>
        <w:pStyle w:val="BodyText"/>
        <w:sectPr w:rsidSect="00271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FB7" w:rsidP="00271FB7">
      <w:pPr>
        <w:pStyle w:val="SuperHeading"/>
      </w:pPr>
      <w:r w:rsidRPr="00271FB7">
        <w:t>Assessment Requirements for TLIB2079 Set up and secure a towing</w:t>
      </w:r>
      <w:r w:rsidRPr="00271FB7">
        <w:t xml:space="preserve"> situation</w:t>
      </w:r>
    </w:p>
    <w:p w:rsidR="00000000" w:rsidRPr="00271FB7" w:rsidP="00271FB7">
      <w:pPr>
        <w:pStyle w:val="Heading1"/>
      </w:pPr>
      <w:bookmarkStart w:id="11" w:name="O_1066611"/>
      <w:bookmarkEnd w:id="11"/>
      <w:r w:rsidRPr="00271F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Release 2</w:t>
            </w:r>
            <w:r w:rsidRPr="00271FB7">
              <w:t>. This is the second release of this unit of competency in the TLI Transport and Logistics Training Package:</w:t>
            </w:r>
          </w:p>
          <w:p w:rsidR="00000000" w:rsidP="00271FB7">
            <w:pPr>
              <w:pStyle w:val="ListBullet"/>
              <w:rPr>
                <w:lang w:val="en-NZ"/>
              </w:rPr>
            </w:pPr>
            <w:r w:rsidRPr="00271FB7">
              <w:t>Minor statement changes in Assessment Conditions.</w:t>
            </w:r>
          </w:p>
        </w:tc>
      </w:tr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rPr>
                <w:rStyle w:val="SpecialBold"/>
              </w:rPr>
              <w:t>Release 1</w:t>
            </w:r>
            <w:r w:rsidRPr="00271FB7">
              <w:t>. This is the first release of this unit of competency in the TLI Transport and Logistics Training Package.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12" w:name="O_1066610"/>
      <w:bookmarkEnd w:id="12"/>
      <w:r w:rsidRPr="00271F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Evidence required to demonstrate competence in this unit must be relevant to and satisfy all of the requir</w:t>
            </w:r>
            <w:r w:rsidRPr="00271FB7">
              <w:t>ements of the elements and performance criteria on at least one occasion and include:</w:t>
            </w:r>
          </w:p>
          <w:p w:rsidR="00000000" w:rsidRPr="00271FB7" w:rsidP="00271FB7">
            <w:pPr>
              <w:pStyle w:val="ListBullet"/>
            </w:pPr>
            <w:r w:rsidRPr="00271FB7">
              <w:t>applying precautions and required action to minimise, control or eliminate identified hazards</w:t>
            </w:r>
          </w:p>
          <w:p w:rsidR="00000000" w:rsidRPr="00271FB7" w:rsidP="00271FB7">
            <w:pPr>
              <w:pStyle w:val="ListBullet"/>
            </w:pPr>
            <w:r w:rsidRPr="00271FB7">
              <w:t>applying relevant legislation and workplace procedures</w:t>
            </w:r>
          </w:p>
          <w:p w:rsidR="00000000" w:rsidRPr="00271FB7" w:rsidP="00271FB7">
            <w:pPr>
              <w:pStyle w:val="ListBullet"/>
            </w:pPr>
            <w:r w:rsidRPr="00271FB7">
              <w:t>communicating effect</w:t>
            </w:r>
            <w:r w:rsidRPr="00271FB7">
              <w:t>ively with others</w:t>
            </w:r>
          </w:p>
          <w:p w:rsidR="00000000" w:rsidRPr="00271FB7" w:rsidP="00271FB7">
            <w:pPr>
              <w:pStyle w:val="ListBullet"/>
            </w:pPr>
            <w:r w:rsidRPr="00271FB7">
              <w:t>completing relevant documentation</w:t>
            </w:r>
          </w:p>
          <w:p w:rsidR="00000000" w:rsidRPr="00271FB7" w:rsidP="00271FB7">
            <w:pPr>
              <w:pStyle w:val="ListBullet"/>
            </w:pPr>
            <w:r w:rsidRPr="00271FB7">
              <w:t>modifying activities depending on workplace contexts, risk situations and towing situations</w:t>
            </w:r>
          </w:p>
          <w:p w:rsidR="00000000" w:rsidRPr="00271FB7" w:rsidP="00271FB7">
            <w:pPr>
              <w:pStyle w:val="ListBullet"/>
            </w:pPr>
            <w:r w:rsidRPr="00271FB7">
              <w:t>planning and prioritising own work, predicting consequences and identifying improvements</w:t>
            </w:r>
          </w:p>
          <w:p w:rsidR="00000000" w:rsidRPr="00271FB7" w:rsidP="00271FB7">
            <w:pPr>
              <w:pStyle w:val="ListBullet"/>
            </w:pPr>
            <w:r w:rsidRPr="00271FB7">
              <w:t>reading and interpreting relevant instructions, procedures and information</w:t>
            </w:r>
          </w:p>
          <w:p w:rsidR="00000000" w:rsidRPr="00271FB7" w:rsidP="00271FB7">
            <w:pPr>
              <w:pStyle w:val="ListBullet"/>
            </w:pPr>
            <w:r w:rsidRPr="00271FB7">
              <w:t>recognising problems and taking appropriate action</w:t>
            </w:r>
          </w:p>
          <w:p w:rsidR="00000000" w:rsidRPr="00271FB7" w:rsidP="00271FB7">
            <w:pPr>
              <w:pStyle w:val="ListBullet"/>
            </w:pPr>
            <w:r w:rsidRPr="00271FB7">
              <w:t>selecting and use personal protective equipment (PPE) in accordance with work health and safety (WHS)/occupational health and safe</w:t>
            </w:r>
            <w:r w:rsidRPr="00271FB7">
              <w:t>ty (OHS) requirements</w:t>
            </w:r>
          </w:p>
          <w:p w:rsidR="00000000" w:rsidRPr="00271FB7" w:rsidP="00271FB7">
            <w:pPr>
              <w:pStyle w:val="ListBullet"/>
            </w:pPr>
            <w:r w:rsidRPr="00271FB7">
              <w:t>selecting and using relevant equipment and tools</w:t>
            </w:r>
          </w:p>
          <w:p w:rsidR="00000000" w:rsidRPr="00271FB7" w:rsidP="00271FB7">
            <w:pPr>
              <w:pStyle w:val="ListBullet"/>
            </w:pPr>
            <w:r w:rsidRPr="00271FB7">
              <w:t>working safely and collaboratively with others.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13" w:name="O_1066609"/>
      <w:bookmarkEnd w:id="13"/>
      <w:r w:rsidRPr="00271F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271FB7" w:rsidP="00271FB7">
            <w:pPr>
              <w:pStyle w:val="ListBullet"/>
            </w:pPr>
            <w:r w:rsidRPr="00271FB7">
              <w:t>documentation and record requirements when checking and assessing equipment op</w:t>
            </w:r>
            <w:r w:rsidRPr="00271FB7">
              <w:t>erational capability</w:t>
            </w:r>
          </w:p>
          <w:p w:rsidR="00000000" w:rsidRPr="00271FB7" w:rsidP="00271FB7">
            <w:pPr>
              <w:pStyle w:val="ListBullet"/>
            </w:pPr>
            <w:r w:rsidRPr="00271FB7">
              <w:t>hazards that may exist when setting up and securing a towing situation and precautions and actions that should be taken to minimise or eliminate identified hazards</w:t>
            </w:r>
          </w:p>
          <w:p w:rsidR="00000000" w:rsidRPr="00271FB7" w:rsidP="00271FB7">
            <w:pPr>
              <w:pStyle w:val="ListBullet"/>
            </w:pPr>
            <w:r w:rsidRPr="00271FB7">
              <w:t>housekeeping standards and procedures</w:t>
            </w:r>
          </w:p>
          <w:p w:rsidR="00000000" w:rsidRPr="00271FB7" w:rsidP="00271FB7">
            <w:pPr>
              <w:pStyle w:val="ListBullet"/>
            </w:pPr>
            <w:r w:rsidRPr="00271FB7">
              <w:t>operational of work systems, equipment, management and workplace operating systems for checking and assessing equipment operational capability</w:t>
            </w:r>
          </w:p>
          <w:p w:rsidR="00000000" w:rsidRPr="00271FB7" w:rsidP="00271FB7">
            <w:pPr>
              <w:pStyle w:val="ListBullet"/>
            </w:pPr>
            <w:r w:rsidRPr="00271FB7">
              <w:t>operational safety requirements for equipment concerned</w:t>
            </w:r>
          </w:p>
          <w:p w:rsidR="00000000" w:rsidRPr="00271FB7" w:rsidP="00271FB7">
            <w:pPr>
              <w:pStyle w:val="ListBullet"/>
            </w:pPr>
            <w:r w:rsidRPr="00271FB7">
              <w:t>problems that may occur when setting up and securing a to</w:t>
            </w:r>
            <w:r w:rsidRPr="00271FB7">
              <w:t>wing situation and appropriate actions that can be taken to resolve these problems</w:t>
            </w:r>
          </w:p>
          <w:p w:rsidR="00000000" w:rsidRPr="00271FB7" w:rsidP="00271FB7">
            <w:pPr>
              <w:pStyle w:val="ListBullet"/>
            </w:pPr>
            <w:r w:rsidRPr="00271FB7">
              <w:t>regulations and standards relevant to setting up and securing a towing situation</w:t>
            </w:r>
          </w:p>
          <w:p w:rsidR="00000000" w:rsidRPr="00271FB7" w:rsidP="00271FB7">
            <w:pPr>
              <w:pStyle w:val="ListBullet"/>
            </w:pPr>
            <w:r w:rsidRPr="00271FB7">
              <w:t>relevant WHS/OHS and environmental protection procedures and guidelines</w:t>
            </w:r>
          </w:p>
          <w:p w:rsidR="00000000" w:rsidRPr="00271FB7" w:rsidP="00271FB7">
            <w:pPr>
              <w:pStyle w:val="ListBullet"/>
            </w:pPr>
            <w:r w:rsidRPr="00271FB7">
              <w:t xml:space="preserve">tools and equipment </w:t>
            </w:r>
            <w:r w:rsidRPr="00271FB7">
              <w:t>used when setting up and securing a towing situation and the precautions and procedures that should be followed in their use</w:t>
            </w:r>
          </w:p>
          <w:p w:rsidR="00000000" w:rsidRPr="00271FB7" w:rsidP="00271FB7">
            <w:pPr>
              <w:pStyle w:val="ListBullet"/>
            </w:pPr>
            <w:r w:rsidRPr="00271FB7">
              <w:t>towing equipment characteristics, applications, capabilities and limitations</w:t>
            </w:r>
          </w:p>
          <w:p w:rsidR="00000000" w:rsidRPr="00271FB7" w:rsidP="00271FB7">
            <w:pPr>
              <w:pStyle w:val="ListBullet"/>
            </w:pPr>
            <w:r w:rsidRPr="00271FB7">
              <w:t>workplace procedures and policies for checking and ass</w:t>
            </w:r>
            <w:r w:rsidRPr="00271FB7">
              <w:t>essing equipment operational capability.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14" w:name="O_1066608"/>
      <w:bookmarkEnd w:id="14"/>
      <w:r w:rsidRPr="00271F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FB7" w:rsidP="00271FB7">
            <w:pPr>
              <w:pStyle w:val="BodyText"/>
            </w:pPr>
            <w:r w:rsidRPr="00271FB7">
              <w:t xml:space="preserve">Assessors must hold credentials specified within the Standards for Registered Training Organisations current at the time of assessment. </w:t>
            </w:r>
          </w:p>
          <w:p w:rsidR="00000000" w:rsidRPr="00271FB7" w:rsidP="00271FB7">
            <w:pPr>
              <w:pStyle w:val="BodyText"/>
            </w:pPr>
            <w:r w:rsidRPr="00271FB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71FB7" w:rsidP="00271FB7">
            <w:pPr>
              <w:pStyle w:val="BodyText"/>
            </w:pPr>
            <w:r w:rsidRPr="00271FB7">
              <w:t>Assessment must occur in workplace operational</w:t>
            </w:r>
            <w:r w:rsidRPr="00271FB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71FB7" w:rsidP="00271FB7">
            <w:pPr>
              <w:pStyle w:val="BodyText"/>
            </w:pPr>
            <w:r w:rsidRPr="00271FB7">
              <w:t>Assessment processes and techniques must be appropriate to the language, l</w:t>
            </w:r>
            <w:r w:rsidRPr="00271FB7">
              <w:t>iteracy and numeracy requirements of the work being performed and the needs of the candidate.</w:t>
            </w:r>
          </w:p>
          <w:p w:rsidR="00000000" w:rsidRPr="00271FB7" w:rsidP="00271FB7">
            <w:pPr>
              <w:pStyle w:val="BodyText"/>
            </w:pPr>
            <w:r w:rsidRPr="00271FB7">
              <w:t>Resources for assessment must include:</w:t>
            </w:r>
          </w:p>
          <w:p w:rsidR="00000000" w:rsidRPr="00271FB7" w:rsidP="00271FB7">
            <w:pPr>
              <w:pStyle w:val="ListBullet"/>
            </w:pPr>
            <w:r w:rsidRPr="00271FB7">
              <w:t>a range of relevant exercises, case studies and/or simulations</w:t>
            </w:r>
          </w:p>
          <w:p w:rsidR="00000000" w:rsidRPr="00271FB7" w:rsidP="00271FB7">
            <w:pPr>
              <w:pStyle w:val="ListBullet"/>
            </w:pPr>
            <w:r w:rsidRPr="00271FB7">
              <w:t>relevant materials, tools, equipment and PPE currently used</w:t>
            </w:r>
            <w:r w:rsidRPr="00271FB7">
              <w:t xml:space="preserve"> in industry</w:t>
            </w:r>
          </w:p>
          <w:p w:rsidR="00000000" w:rsidRPr="00271FB7" w:rsidP="00271FB7">
            <w:pPr>
              <w:pStyle w:val="ListBullet"/>
            </w:pPr>
            <w:r w:rsidRPr="00271FB7">
              <w:t>applicable documentation, including workplace procedures, regulations, codes of practice and operation manuals.</w:t>
            </w:r>
          </w:p>
        </w:tc>
      </w:tr>
    </w:tbl>
    <w:p w:rsidR="00000000" w:rsidRPr="00271FB7" w:rsidP="00271FB7">
      <w:pPr>
        <w:pStyle w:val="NoPaddingFontSize1"/>
      </w:pPr>
    </w:p>
    <w:p w:rsidR="00000000" w:rsidRPr="00271FB7" w:rsidP="00271FB7">
      <w:pPr>
        <w:pStyle w:val="AllowPageBreak"/>
      </w:pPr>
    </w:p>
    <w:p w:rsidR="00000000" w:rsidRPr="00271FB7" w:rsidP="00271FB7">
      <w:pPr>
        <w:pStyle w:val="Heading1"/>
      </w:pPr>
      <w:bookmarkStart w:id="15" w:name="O_1066623"/>
      <w:bookmarkEnd w:id="15"/>
      <w:r w:rsidRPr="00271FB7">
        <w:t>Links</w:t>
      </w:r>
    </w:p>
    <w:p w:rsidR="00000000" w:rsidRPr="00271FB7" w:rsidP="001F2FEA">
      <w:pPr>
        <w:pStyle w:val="BodyText"/>
      </w:pPr>
      <w:r w:rsidRPr="00271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00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1FB7" w:rsidP="00271FB7"/>
    <w:sectPr w:rsidSect="00271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 w:rsidRPr="001F2FEA" w:rsidP="001F2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EA" w:rsidP="0027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FEA" w:rsidP="0027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2FEA" w:rsidP="00271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 w:rsidP="00271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2FEA">
      <w:t>Approved</w:t>
    </w:r>
    <w:r w:rsidR="001F2F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2F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2FEA">
      <w:rPr>
        <w:noProof/>
      </w:rPr>
      <w:t>4</w:t>
    </w:r>
    <w:r>
      <w:rPr>
        <w:noProof/>
      </w:rPr>
      <w:fldChar w:fldCharType="end"/>
    </w:r>
  </w:p>
  <w:p w:rsidR="00271FB7" w:rsidP="00271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2F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2FEA">
      <w:t>Industry Skills Australia</w:t>
    </w:r>
    <w:r w:rsidR="001F2FEA">
      <w:fldChar w:fldCharType="end"/>
    </w:r>
  </w:p>
  <w:p w:rsidR="00271FB7" w:rsidP="00271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FB7" w:rsidRPr="001F2FEA" w:rsidP="001F2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EA" w:rsidRPr="002D2AF8" w:rsidP="0027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TLIB2079 Set up and secure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2FEA" w:rsidP="00271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FB7" w:rsidRPr="002D2AF8" w:rsidP="00271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2FEA">
      <w:t>TLIB2079 Set up and secure a towing situation</w:t>
    </w:r>
    <w:r w:rsidR="001F2F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2FEA">
      <w:rPr>
        <w:noProof/>
      </w:rPr>
      <w:t>2 March 2025</w:t>
    </w:r>
    <w:r>
      <w:fldChar w:fldCharType="end"/>
    </w:r>
  </w:p>
  <w:p w:rsidR="00271FB7" w:rsidP="00271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87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EC1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FB7"/>
  </w:style>
  <w:style w:type="character" w:customStyle="1" w:styleId="Heading1Char">
    <w:name w:val="Heading 1 Char"/>
    <w:basedOn w:val="DefaultParagraphFont"/>
    <w:link w:val="Heading1"/>
    <w:rsid w:val="00271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FB7"/>
    <w:rPr>
      <w:b/>
      <w:spacing w:val="0"/>
    </w:rPr>
  </w:style>
  <w:style w:type="paragraph" w:customStyle="1" w:styleId="SuperHeading">
    <w:name w:val="SuperHeading"/>
    <w:basedOn w:val="Normal"/>
    <w:rsid w:val="00271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1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FB7"/>
    <w:rPr>
      <w:i/>
    </w:rPr>
  </w:style>
  <w:style w:type="paragraph" w:styleId="Caption">
    <w:name w:val="caption"/>
    <w:basedOn w:val="BodyText"/>
    <w:next w:val="Normal"/>
    <w:qFormat/>
    <w:rsid w:val="00271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FB7"/>
  </w:style>
  <w:style w:type="paragraph" w:styleId="TableofFigures">
    <w:name w:val="table of figures"/>
    <w:basedOn w:val="Normal"/>
    <w:next w:val="Normal"/>
    <w:semiHidden/>
    <w:rsid w:val="00271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FB7"/>
    <w:rPr>
      <w:rFonts w:ascii="Wingdings" w:hAnsi="Wingdings"/>
    </w:rPr>
  </w:style>
  <w:style w:type="paragraph" w:customStyle="1" w:styleId="TableHeading">
    <w:name w:val="Table Heading"/>
    <w:basedOn w:val="HeadingBase"/>
    <w:rsid w:val="00271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FB7"/>
    <w:rPr>
      <w:color w:val="0033CC"/>
      <w:u w:val="none"/>
    </w:rPr>
  </w:style>
  <w:style w:type="paragraph" w:customStyle="1" w:styleId="BodyTextRight">
    <w:name w:val="Body Text Right"/>
    <w:basedOn w:val="BodyText"/>
    <w:rsid w:val="00271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FB7"/>
    <w:rPr>
      <w:sz w:val="32"/>
    </w:rPr>
  </w:style>
  <w:style w:type="paragraph" w:customStyle="1" w:styleId="HeadingProcedure">
    <w:name w:val="Heading Procedure"/>
    <w:basedOn w:val="HeadingBase"/>
    <w:next w:val="Normal"/>
    <w:rsid w:val="00271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FB7"/>
    <w:pPr>
      <w:spacing w:before="60" w:after="60"/>
    </w:pPr>
  </w:style>
  <w:style w:type="paragraph" w:styleId="ListContinue">
    <w:name w:val="List Continue"/>
    <w:basedOn w:val="List"/>
    <w:rsid w:val="00271FB7"/>
    <w:pPr>
      <w:ind w:firstLine="0"/>
    </w:pPr>
  </w:style>
  <w:style w:type="paragraph" w:customStyle="1" w:styleId="ListNote">
    <w:name w:val="List Note"/>
    <w:basedOn w:val="List"/>
    <w:rsid w:val="00271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FB7"/>
    <w:rPr>
      <w:rFonts w:ascii="Courier New" w:hAnsi="Courier New"/>
    </w:rPr>
  </w:style>
  <w:style w:type="paragraph" w:customStyle="1" w:styleId="NoteBullet">
    <w:name w:val="Note Bullet"/>
    <w:basedOn w:val="Note"/>
    <w:rsid w:val="00271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FB7"/>
    <w:rPr>
      <w:b/>
      <w:smallCaps/>
    </w:rPr>
  </w:style>
  <w:style w:type="paragraph" w:customStyle="1" w:styleId="TableListNumber">
    <w:name w:val="Table List Number"/>
    <w:basedOn w:val="ListNumber"/>
    <w:rsid w:val="00271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FB7"/>
    <w:pPr>
      <w:numPr>
        <w:numId w:val="8"/>
      </w:numPr>
    </w:pPr>
  </w:style>
  <w:style w:type="paragraph" w:customStyle="1" w:styleId="ListAlpha2">
    <w:name w:val="List Alpha 2"/>
    <w:basedOn w:val="List2"/>
    <w:rsid w:val="00271FB7"/>
    <w:pPr>
      <w:numPr>
        <w:numId w:val="7"/>
      </w:numPr>
    </w:pPr>
  </w:style>
  <w:style w:type="paragraph" w:styleId="List2">
    <w:name w:val="List 2"/>
    <w:basedOn w:val="BodyText"/>
    <w:rsid w:val="00271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FB7"/>
    <w:pPr>
      <w:numPr>
        <w:numId w:val="3"/>
      </w:numPr>
    </w:pPr>
  </w:style>
  <w:style w:type="paragraph" w:styleId="ListContinue2">
    <w:name w:val="List Continue 2"/>
    <w:basedOn w:val="List2"/>
    <w:rsid w:val="00271FB7"/>
    <w:pPr>
      <w:ind w:firstLine="0"/>
    </w:pPr>
  </w:style>
  <w:style w:type="paragraph" w:styleId="ListContinue3">
    <w:name w:val="List Continue 3"/>
    <w:basedOn w:val="List3"/>
    <w:rsid w:val="00271FB7"/>
    <w:pPr>
      <w:ind w:left="1021" w:firstLine="0"/>
    </w:pPr>
  </w:style>
  <w:style w:type="paragraph" w:styleId="ListContinue4">
    <w:name w:val="List Continue 4"/>
    <w:basedOn w:val="List4"/>
    <w:rsid w:val="00271FB7"/>
    <w:pPr>
      <w:ind w:firstLine="0"/>
    </w:pPr>
  </w:style>
  <w:style w:type="paragraph" w:styleId="ListContinue5">
    <w:name w:val="List Continue 5"/>
    <w:basedOn w:val="List5"/>
    <w:rsid w:val="00271FB7"/>
    <w:pPr>
      <w:ind w:firstLine="0"/>
    </w:pPr>
  </w:style>
  <w:style w:type="paragraph" w:styleId="ListNumber3">
    <w:name w:val="List Number 3"/>
    <w:basedOn w:val="List3"/>
    <w:rsid w:val="00271FB7"/>
    <w:pPr>
      <w:numPr>
        <w:numId w:val="4"/>
      </w:numPr>
    </w:pPr>
  </w:style>
  <w:style w:type="paragraph" w:styleId="ListNumber4">
    <w:name w:val="List Number 4"/>
    <w:basedOn w:val="List4"/>
    <w:rsid w:val="00271FB7"/>
    <w:pPr>
      <w:numPr>
        <w:numId w:val="5"/>
      </w:numPr>
    </w:pPr>
  </w:style>
  <w:style w:type="paragraph" w:styleId="ListNumber5">
    <w:name w:val="List Number 5"/>
    <w:basedOn w:val="List5"/>
    <w:rsid w:val="00271FB7"/>
    <w:pPr>
      <w:numPr>
        <w:numId w:val="6"/>
      </w:numPr>
    </w:pPr>
  </w:style>
  <w:style w:type="paragraph" w:styleId="BlockText">
    <w:name w:val="Block Text"/>
    <w:basedOn w:val="Normal"/>
    <w:rsid w:val="00271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FB7"/>
    <w:rPr>
      <w:sz w:val="16"/>
      <w:vertAlign w:val="superscript"/>
    </w:rPr>
  </w:style>
  <w:style w:type="character" w:customStyle="1" w:styleId="Symbols">
    <w:name w:val="Symbols"/>
    <w:basedOn w:val="DefaultParagraphFont"/>
    <w:rsid w:val="00271FB7"/>
    <w:rPr>
      <w:rFonts w:ascii="Symbol" w:hAnsi="Symbol"/>
    </w:rPr>
  </w:style>
  <w:style w:type="character" w:customStyle="1" w:styleId="MenuOptions">
    <w:name w:val="Menu Options"/>
    <w:basedOn w:val="DefaultParagraphFont"/>
    <w:rsid w:val="00271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FB7"/>
    <w:rPr>
      <w:b/>
    </w:rPr>
  </w:style>
  <w:style w:type="character" w:customStyle="1" w:styleId="Underlined">
    <w:name w:val="Underlined"/>
    <w:basedOn w:val="DefaultParagraphFont"/>
    <w:rsid w:val="00271FB7"/>
    <w:rPr>
      <w:u w:val="single"/>
    </w:rPr>
  </w:style>
  <w:style w:type="paragraph" w:customStyle="1" w:styleId="TableBodyTextRight">
    <w:name w:val="Table Body Text Right"/>
    <w:basedOn w:val="TableBodyText"/>
    <w:rsid w:val="00271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FB7"/>
    <w:rPr>
      <w:sz w:val="18"/>
    </w:rPr>
  </w:style>
  <w:style w:type="paragraph" w:customStyle="1" w:styleId="BodySmallRight">
    <w:name w:val="Body Small Right"/>
    <w:basedOn w:val="BodyTextRight"/>
    <w:rsid w:val="00271FB7"/>
    <w:rPr>
      <w:sz w:val="18"/>
      <w:szCs w:val="18"/>
    </w:rPr>
  </w:style>
  <w:style w:type="paragraph" w:customStyle="1" w:styleId="MarginEdition">
    <w:name w:val="Margin Edition"/>
    <w:basedOn w:val="MarginNote"/>
    <w:rsid w:val="00271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FB7"/>
    <w:rPr>
      <w:sz w:val="2"/>
      <w:szCs w:val="2"/>
    </w:rPr>
  </w:style>
  <w:style w:type="character" w:customStyle="1" w:styleId="Small">
    <w:name w:val="Small"/>
    <w:basedOn w:val="DefaultParagraphFont"/>
    <w:rsid w:val="00271FB7"/>
    <w:rPr>
      <w:sz w:val="16"/>
    </w:rPr>
  </w:style>
  <w:style w:type="paragraph" w:customStyle="1" w:styleId="WideTable">
    <w:name w:val="Wide Table"/>
    <w:basedOn w:val="Normal"/>
    <w:rsid w:val="00271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FB7"/>
  </w:style>
  <w:style w:type="paragraph" w:styleId="Quote">
    <w:name w:val="Quote"/>
    <w:basedOn w:val="Heading1"/>
    <w:link w:val="QuoteChar"/>
    <w:qFormat/>
    <w:rsid w:val="00271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FB7"/>
    <w:pPr>
      <w:pageBreakBefore/>
    </w:pPr>
  </w:style>
  <w:style w:type="paragraph" w:customStyle="1" w:styleId="Border">
    <w:name w:val="Border"/>
    <w:basedOn w:val="Normal"/>
    <w:qFormat/>
    <w:rsid w:val="00271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FB7"/>
    <w:rPr>
      <w:u w:val="single"/>
    </w:rPr>
  </w:style>
  <w:style w:type="character" w:customStyle="1" w:styleId="BoldandItalics">
    <w:name w:val="Bold and Italics"/>
    <w:qFormat/>
    <w:rsid w:val="00271FB7"/>
    <w:rPr>
      <w:b/>
      <w:i/>
      <w:u w:val="none"/>
    </w:rPr>
  </w:style>
  <w:style w:type="paragraph" w:styleId="BalloonText">
    <w:name w:val="Balloon Text"/>
    <w:basedOn w:val="Normal"/>
    <w:link w:val="BalloonTextChar"/>
    <w:rsid w:val="00271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FB7"/>
    <w:pPr>
      <w:spacing w:before="0" w:after="0"/>
    </w:pPr>
  </w:style>
  <w:style w:type="paragraph" w:customStyle="1" w:styleId="BodyTextBold">
    <w:name w:val="Body Text Bold"/>
    <w:basedOn w:val="BodyText"/>
    <w:qFormat/>
    <w:rsid w:val="00271FB7"/>
    <w:rPr>
      <w:b/>
    </w:rPr>
  </w:style>
  <w:style w:type="character" w:styleId="Hyperlink">
    <w:name w:val="Hyperlink"/>
    <w:basedOn w:val="DefaultParagraphFont"/>
    <w:uiPriority w:val="99"/>
    <w:unhideWhenUsed/>
    <w:rsid w:val="001F2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7236</Characters>
  <Application>Microsoft Office Word</Application>
  <DocSecurity>0</DocSecurity>
  <Lines>241</Lines>
  <Paragraphs>135</Paragraphs>
  <ScaleCrop>false</ScaleCrop>
  <Company>Author-it Software Corporation Ltd.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TLIB2079 Set up and secure a towing situation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