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6AF" w:rsidP="00D16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TLIB0128 Conduct pre-movement checks on motive power units</w:t>
      </w:r>
      <w:r>
        <w:fldChar w:fldCharType="end"/>
      </w:r>
    </w:p>
    <w:p w:rsidR="00D166AF" w:rsidP="00D166AF">
      <w:pPr>
        <w:pStyle w:val="Version"/>
        <w:sectPr w:rsidSect="00213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0DC" w:rsidP="002130DC">
      <w:pPr>
        <w:pStyle w:val="SuperHeading"/>
      </w:pPr>
      <w:r w:rsidRPr="002130DC">
        <w:t>TLIB0128 Conduct pre-movement checks on motive power units</w:t>
      </w:r>
    </w:p>
    <w:p w:rsidR="00000000" w:rsidRPr="002130DC" w:rsidP="002130DC">
      <w:pPr>
        <w:pStyle w:val="Heading1"/>
      </w:pPr>
      <w:bookmarkStart w:id="1" w:name="O_1195028"/>
      <w:bookmarkEnd w:id="1"/>
      <w:r w:rsidRPr="002130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Release 2</w:t>
            </w:r>
            <w:r w:rsidRPr="002130DC">
              <w:t>. This is the second release of this unit of competency in the TLI Transport and Logistics Training Package:</w:t>
            </w:r>
          </w:p>
          <w:p w:rsidR="00000000" w:rsidRPr="002130DC" w:rsidP="002130DC">
            <w:pPr>
              <w:pStyle w:val="ListBullet"/>
            </w:pPr>
            <w:r w:rsidRPr="002130DC">
              <w:t>Minor statement changes in Performance Criteria</w:t>
            </w:r>
          </w:p>
          <w:p w:rsidR="00000000" w:rsidRPr="002130DC" w:rsidP="002130DC">
            <w:pPr>
              <w:pStyle w:val="ListBullet"/>
            </w:pPr>
            <w:r w:rsidRPr="002130DC">
              <w:t>Minor statement changes in Performance Evidence</w:t>
            </w:r>
          </w:p>
          <w:p w:rsidR="00000000" w:rsidRPr="002130DC" w:rsidP="002130DC">
            <w:pPr>
              <w:pStyle w:val="ListBullet"/>
            </w:pPr>
            <w:r w:rsidRPr="002130DC">
              <w:t>Mi</w:t>
            </w:r>
            <w:r w:rsidRPr="002130DC">
              <w:t>nor statement changes in Knowledge Evidence</w:t>
            </w:r>
          </w:p>
          <w:p w:rsidR="00000000" w:rsidP="002130DC">
            <w:pPr>
              <w:pStyle w:val="ListBullet"/>
              <w:rPr>
                <w:lang w:val="en-NZ"/>
              </w:rPr>
            </w:pPr>
            <w:r w:rsidRPr="002130DC">
              <w:t>Minor statement changes in Assessment Conditions.</w:t>
            </w:r>
          </w:p>
        </w:tc>
      </w:tr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Release 1</w:t>
            </w:r>
            <w:r w:rsidRPr="002130DC">
              <w:t>. This is the first release of this unit of competency in the TLI Transport and Logistics Training Package.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2" w:name="O_1195027"/>
      <w:bookmarkEnd w:id="2"/>
      <w:r w:rsidRPr="002130D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This unit involves the skills and knowledge required to conduct pre-movement checks on motive power units in accordance with relevant  workplace procedures, rules and codes of practice.</w:t>
            </w:r>
          </w:p>
          <w:p w:rsidR="00000000" w:rsidRPr="002130DC" w:rsidP="002130DC">
            <w:pPr>
              <w:pStyle w:val="BodyText"/>
            </w:pPr>
            <w:r w:rsidRPr="002130DC">
              <w:t xml:space="preserve">It includes conducting pre-start checks, and starting and positioning </w:t>
            </w:r>
            <w:r w:rsidRPr="002130DC">
              <w:t>motive power units in accordance with workplace requirements.</w:t>
            </w:r>
          </w:p>
          <w:p w:rsidR="00000000" w:rsidRPr="002130DC" w:rsidP="002130DC">
            <w:pPr>
              <w:pStyle w:val="BodyText"/>
            </w:pPr>
            <w:r w:rsidRPr="002130DC">
              <w:t>This unit applies to people required to carry out these activities as part of a maintenance role within a defined location.</w:t>
            </w:r>
          </w:p>
          <w:p w:rsidR="00000000" w:rsidRPr="002130DC" w:rsidP="002130DC">
            <w:pPr>
              <w:pStyle w:val="BodyText"/>
            </w:pPr>
            <w:r w:rsidRPr="002130DC">
              <w:t xml:space="preserve">No licensing, legislative or certification requirements apply to this </w:t>
            </w:r>
            <w:r w:rsidRPr="002130DC">
              <w:t>unit at the time of publication.</w:t>
            </w:r>
          </w:p>
        </w:tc>
      </w:tr>
    </w:tbl>
    <w:p w:rsidR="00D166AF" w:rsidP="002130DC">
      <w:pPr>
        <w:pStyle w:val="BodyText"/>
      </w:pPr>
    </w:p>
    <w:p w:rsidR="00D166AF" w:rsidP="002130DC">
      <w:pPr>
        <w:pStyle w:val="BodyText"/>
      </w:pPr>
    </w:p>
    <w:p w:rsidR="00000000" w:rsidRPr="002130DC" w:rsidP="002130DC">
      <w:pPr>
        <w:pStyle w:val="Heading1"/>
      </w:pPr>
      <w:bookmarkStart w:id="3" w:name="O_1195026"/>
      <w:bookmarkEnd w:id="3"/>
      <w:r w:rsidRPr="002130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Not applicable.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4" w:name="O_1195025"/>
      <w:bookmarkEnd w:id="4"/>
      <w:r w:rsidRPr="002130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B – Equipment Checking and Maintenance.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5" w:name="O_1195024"/>
      <w:bookmarkEnd w:id="5"/>
      <w:r w:rsidRPr="002130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Rail sector.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6" w:name="O_1195023"/>
      <w:bookmarkEnd w:id="6"/>
      <w:r w:rsidRPr="002130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1988"/>
        <w:gridCol w:w="1"/>
        <w:gridCol w:w="509"/>
        <w:gridCol w:w="6367"/>
      </w:tblGrid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PERFORMANCE CRITERIA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Performance criteria describe the performance needed to demonstrate achievement of the element.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Carry out pre-start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Allocation of motive power units is checked in conjunction with appropriate personnel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Motive power unit to be inspected and prepared is located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Completion of all maintenance activities is confirmed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Checks for safety controls are c</w:t>
            </w:r>
            <w:r w:rsidRPr="002130DC">
              <w:t>onducted in accordance with workplace procedures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Internal and external integrity checks are conducted in accordance with workplace procedures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Fluid levels are checked and appropriate actions taken, as required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Start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Motive power unit is started in accordance with manufacturer instructions and/or workplace procedures, and faults are recognised, diagnosed, reported and recorded in appropriate records for follow-up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Hazards are identified, risks are assessed and ri</w:t>
            </w:r>
            <w:r w:rsidRPr="002130DC">
              <w:t>sk control measures are implemented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For critical or serious equipment faults that cannot be readily rectified, motive power unit is shut down, faulty equipment is isolated and tagged, and problem is reported for rectification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All instruments and gauges are observed, readings are interpreted to confirm effective air and electrical operation, and where a problem is indicated, actions are taken to determine the cause and to rectify or report the situation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Fluid levels are r</w:t>
            </w:r>
            <w:r w:rsidRPr="002130DC">
              <w:t>echecked after starting and appropriate actions are taken in accordance with workplace procedures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Pre-movement checks are carried out to ensure motive power unit is braking and powering effectively and is safe to move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A</w:t>
            </w:r>
            <w:r w:rsidRPr="002130DC">
              <w:t>ll required documentation concerning inspecting the motive power unit is completed and processed in accordance with workplace procedures and regulatory requirements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 xml:space="preserve">Logbook and other maintenance records on the motive power unit are completed and processed in accordance with workplace procedures </w:t>
            </w:r>
            <w:r w:rsidRPr="002130DC">
              <w:t>and regulatory requirements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rPr>
                <w:rStyle w:val="SpecialBold"/>
              </w:rPr>
              <w:t>Position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Authority to move and position motive power unit is obtained an</w:t>
            </w:r>
            <w:r w:rsidRPr="002130DC">
              <w:t>d relevant personnel are advised of intention and procedures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Relevant personnel are made aware that motive power unit is about to be moved in accordance with workplace procedures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Motive power unit is operated in accordance with standard procedures and regulatory requirements, and within operating and operational constraints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Motive power unit is positioned in accordance with operational requirements and directions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Moti</w:t>
            </w:r>
            <w:r w:rsidRPr="002130DC">
              <w:t>ve power unit performance is monitored during operation to confirm effective operation and/or to identify defects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Equipment defects are identified, reported, rectified and recorded or relevant personnel are advised for assistance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t>Relevant work health and safety (WHS)/occupational health and safety (OHS) and regulatory requirements are followed to ensure safety and to prevent injury and damage</w:t>
            </w:r>
          </w:p>
        </w:tc>
      </w:tr>
      <w:tr w:rsidTr="00D16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0DC">
            <w:pPr>
              <w:pStyle w:val="BodyText"/>
              <w:rPr>
                <w:lang w:val="en-NZ"/>
              </w:rPr>
            </w:pPr>
            <w:r w:rsidRPr="002130DC">
              <w:rPr>
                <w:rStyle w:val="SpecialBold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Relevant personnel are advised that the motive power unit is secured in the require</w:t>
            </w:r>
            <w:r w:rsidRPr="002130DC">
              <w:t>d position and is ready for service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7" w:name="O_1195022"/>
      <w:bookmarkEnd w:id="7"/>
      <w:r w:rsidRPr="002130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Foundation skills essential to performance are explicit in the performance criteria of this unit of competency.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8" w:name="O_1195021"/>
      <w:bookmarkEnd w:id="8"/>
      <w:r w:rsidRPr="002130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Range is restricted to essential operating conditions and any other variables essential to the work environment.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9" w:name="O_1195020"/>
      <w:bookmarkEnd w:id="9"/>
      <w:r w:rsidRPr="002130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0DC" w:rsidP="002130DC">
            <w:pPr>
              <w:pStyle w:val="BodyText"/>
            </w:pPr>
            <w:r w:rsidRPr="002130DC">
              <w:t>This unit replaces and is equivalent to TLIB0128A Conduct pre-movement checks on motive power u</w:t>
            </w:r>
            <w:r w:rsidRPr="002130DC">
              <w:t>nits.</w:t>
            </w:r>
          </w:p>
        </w:tc>
      </w:tr>
    </w:tbl>
    <w:p w:rsidR="00D166AF" w:rsidP="002130DC">
      <w:pPr>
        <w:pStyle w:val="NoPaddingFontSize1"/>
      </w:pPr>
    </w:p>
    <w:p w:rsidR="00D166AF" w:rsidP="002130DC">
      <w:pPr>
        <w:pStyle w:val="NoPaddingFontSize1"/>
      </w:pPr>
    </w:p>
    <w:p w:rsidR="00000000" w:rsidRPr="002130DC" w:rsidP="002130DC">
      <w:pPr>
        <w:pStyle w:val="Heading1"/>
      </w:pPr>
      <w:bookmarkStart w:id="10" w:name="O_1195029"/>
      <w:bookmarkEnd w:id="10"/>
      <w:r w:rsidRPr="002130DC">
        <w:t>Links</w:t>
      </w:r>
    </w:p>
    <w:p w:rsidR="00000000" w:rsidRPr="002130DC" w:rsidP="00D166AF">
      <w:pPr>
        <w:pStyle w:val="BodyText"/>
      </w:pPr>
      <w:r w:rsidRPr="00213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6D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30DC" w:rsidP="002130DC"/>
    <w:sectPr w:rsidSect="002130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DC" w:rsidRPr="00D166AF" w:rsidP="00D16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AF" w:rsidP="00213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6AF" w:rsidP="00213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66AF" w:rsidP="00213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0DC" w:rsidRPr="00D166AF" w:rsidP="00D16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AF" w:rsidRPr="002D2AF8" w:rsidP="00213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TLIB0128 Conduct pre-movement checks on motive power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66AF" w:rsidP="00213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10B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C8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0DC"/>
  </w:style>
  <w:style w:type="character" w:customStyle="1" w:styleId="Heading1Char">
    <w:name w:val="Heading 1 Char"/>
    <w:basedOn w:val="DefaultParagraphFont"/>
    <w:link w:val="Heading1"/>
    <w:rsid w:val="00213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0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0DC"/>
    <w:rPr>
      <w:b/>
      <w:spacing w:val="0"/>
    </w:rPr>
  </w:style>
  <w:style w:type="paragraph" w:customStyle="1" w:styleId="SuperHeading">
    <w:name w:val="SuperHeading"/>
    <w:basedOn w:val="Normal"/>
    <w:rsid w:val="00213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3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0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0DC"/>
    <w:rPr>
      <w:i/>
    </w:rPr>
  </w:style>
  <w:style w:type="paragraph" w:styleId="Caption">
    <w:name w:val="caption"/>
    <w:basedOn w:val="BodyText"/>
    <w:next w:val="Normal"/>
    <w:qFormat/>
    <w:rsid w:val="00213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0DC"/>
  </w:style>
  <w:style w:type="paragraph" w:styleId="TableofFigures">
    <w:name w:val="table of figures"/>
    <w:basedOn w:val="Normal"/>
    <w:next w:val="Normal"/>
    <w:semiHidden/>
    <w:rsid w:val="00213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0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0DC"/>
    <w:rPr>
      <w:rFonts w:ascii="Wingdings" w:hAnsi="Wingdings"/>
    </w:rPr>
  </w:style>
  <w:style w:type="paragraph" w:customStyle="1" w:styleId="TableHeading">
    <w:name w:val="Table Heading"/>
    <w:basedOn w:val="HeadingBase"/>
    <w:rsid w:val="00213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0DC"/>
    <w:rPr>
      <w:color w:val="0033CC"/>
      <w:u w:val="none"/>
    </w:rPr>
  </w:style>
  <w:style w:type="paragraph" w:customStyle="1" w:styleId="BodyTextRight">
    <w:name w:val="Body Text Right"/>
    <w:basedOn w:val="BodyText"/>
    <w:rsid w:val="00213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0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0DC"/>
    <w:rPr>
      <w:sz w:val="32"/>
    </w:rPr>
  </w:style>
  <w:style w:type="paragraph" w:customStyle="1" w:styleId="HeadingProcedure">
    <w:name w:val="Heading Procedure"/>
    <w:basedOn w:val="HeadingBase"/>
    <w:next w:val="Normal"/>
    <w:rsid w:val="00213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0DC"/>
    <w:pPr>
      <w:spacing w:before="60" w:after="60"/>
    </w:pPr>
  </w:style>
  <w:style w:type="paragraph" w:styleId="ListContinue">
    <w:name w:val="List Continue"/>
    <w:basedOn w:val="List"/>
    <w:rsid w:val="002130DC"/>
    <w:pPr>
      <w:ind w:firstLine="0"/>
    </w:pPr>
  </w:style>
  <w:style w:type="paragraph" w:customStyle="1" w:styleId="ListNote">
    <w:name w:val="List Note"/>
    <w:basedOn w:val="List"/>
    <w:rsid w:val="00213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0DC"/>
    <w:rPr>
      <w:rFonts w:ascii="Courier New" w:hAnsi="Courier New"/>
    </w:rPr>
  </w:style>
  <w:style w:type="paragraph" w:customStyle="1" w:styleId="NoteBullet">
    <w:name w:val="Note Bullet"/>
    <w:basedOn w:val="Note"/>
    <w:rsid w:val="00213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0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0DC"/>
    <w:rPr>
      <w:b/>
      <w:smallCaps/>
    </w:rPr>
  </w:style>
  <w:style w:type="paragraph" w:customStyle="1" w:styleId="TableListNumber">
    <w:name w:val="Table List Number"/>
    <w:basedOn w:val="ListNumber"/>
    <w:rsid w:val="00213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0DC"/>
    <w:pPr>
      <w:numPr>
        <w:numId w:val="8"/>
      </w:numPr>
    </w:pPr>
  </w:style>
  <w:style w:type="paragraph" w:customStyle="1" w:styleId="ListAlpha2">
    <w:name w:val="List Alpha 2"/>
    <w:basedOn w:val="List2"/>
    <w:rsid w:val="002130DC"/>
    <w:pPr>
      <w:numPr>
        <w:numId w:val="7"/>
      </w:numPr>
    </w:pPr>
  </w:style>
  <w:style w:type="paragraph" w:styleId="List2">
    <w:name w:val="List 2"/>
    <w:basedOn w:val="BodyText"/>
    <w:rsid w:val="00213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0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0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0DC"/>
    <w:pPr>
      <w:numPr>
        <w:numId w:val="3"/>
      </w:numPr>
    </w:pPr>
  </w:style>
  <w:style w:type="paragraph" w:styleId="ListContinue2">
    <w:name w:val="List Continue 2"/>
    <w:basedOn w:val="List2"/>
    <w:rsid w:val="002130DC"/>
    <w:pPr>
      <w:ind w:firstLine="0"/>
    </w:pPr>
  </w:style>
  <w:style w:type="paragraph" w:styleId="ListContinue3">
    <w:name w:val="List Continue 3"/>
    <w:basedOn w:val="List3"/>
    <w:rsid w:val="002130DC"/>
    <w:pPr>
      <w:ind w:left="1021" w:firstLine="0"/>
    </w:pPr>
  </w:style>
  <w:style w:type="paragraph" w:styleId="ListContinue4">
    <w:name w:val="List Continue 4"/>
    <w:basedOn w:val="List4"/>
    <w:rsid w:val="002130DC"/>
    <w:pPr>
      <w:ind w:firstLine="0"/>
    </w:pPr>
  </w:style>
  <w:style w:type="paragraph" w:styleId="ListContinue5">
    <w:name w:val="List Continue 5"/>
    <w:basedOn w:val="List5"/>
    <w:rsid w:val="002130DC"/>
    <w:pPr>
      <w:ind w:firstLine="0"/>
    </w:pPr>
  </w:style>
  <w:style w:type="paragraph" w:styleId="ListNumber3">
    <w:name w:val="List Number 3"/>
    <w:basedOn w:val="List3"/>
    <w:rsid w:val="002130DC"/>
    <w:pPr>
      <w:numPr>
        <w:numId w:val="4"/>
      </w:numPr>
    </w:pPr>
  </w:style>
  <w:style w:type="paragraph" w:styleId="ListNumber4">
    <w:name w:val="List Number 4"/>
    <w:basedOn w:val="List4"/>
    <w:rsid w:val="002130DC"/>
    <w:pPr>
      <w:numPr>
        <w:numId w:val="5"/>
      </w:numPr>
    </w:pPr>
  </w:style>
  <w:style w:type="paragraph" w:styleId="ListNumber5">
    <w:name w:val="List Number 5"/>
    <w:basedOn w:val="List5"/>
    <w:rsid w:val="002130DC"/>
    <w:pPr>
      <w:numPr>
        <w:numId w:val="6"/>
      </w:numPr>
    </w:pPr>
  </w:style>
  <w:style w:type="paragraph" w:styleId="BlockText">
    <w:name w:val="Block Text"/>
    <w:basedOn w:val="Normal"/>
    <w:rsid w:val="00213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0DC"/>
    <w:rPr>
      <w:sz w:val="16"/>
      <w:vertAlign w:val="superscript"/>
    </w:rPr>
  </w:style>
  <w:style w:type="character" w:customStyle="1" w:styleId="Symbols">
    <w:name w:val="Symbols"/>
    <w:basedOn w:val="DefaultParagraphFont"/>
    <w:rsid w:val="002130DC"/>
    <w:rPr>
      <w:rFonts w:ascii="Symbol" w:hAnsi="Symbol"/>
    </w:rPr>
  </w:style>
  <w:style w:type="character" w:customStyle="1" w:styleId="MenuOptions">
    <w:name w:val="Menu Options"/>
    <w:basedOn w:val="DefaultParagraphFont"/>
    <w:rsid w:val="00213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0DC"/>
    <w:rPr>
      <w:b/>
    </w:rPr>
  </w:style>
  <w:style w:type="character" w:customStyle="1" w:styleId="Underlined">
    <w:name w:val="Underlined"/>
    <w:basedOn w:val="DefaultParagraphFont"/>
    <w:rsid w:val="002130DC"/>
    <w:rPr>
      <w:u w:val="single"/>
    </w:rPr>
  </w:style>
  <w:style w:type="paragraph" w:customStyle="1" w:styleId="TableBodyTextRight">
    <w:name w:val="Table Body Text Right"/>
    <w:basedOn w:val="TableBodyText"/>
    <w:rsid w:val="00213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0DC"/>
    <w:rPr>
      <w:sz w:val="18"/>
    </w:rPr>
  </w:style>
  <w:style w:type="paragraph" w:customStyle="1" w:styleId="BodySmallRight">
    <w:name w:val="Body Small Right"/>
    <w:basedOn w:val="BodyTextRight"/>
    <w:rsid w:val="002130DC"/>
    <w:rPr>
      <w:sz w:val="18"/>
      <w:szCs w:val="18"/>
    </w:rPr>
  </w:style>
  <w:style w:type="paragraph" w:customStyle="1" w:styleId="MarginEdition">
    <w:name w:val="Margin Edition"/>
    <w:basedOn w:val="MarginNote"/>
    <w:rsid w:val="00213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0DC"/>
    <w:rPr>
      <w:sz w:val="2"/>
      <w:szCs w:val="2"/>
    </w:rPr>
  </w:style>
  <w:style w:type="character" w:customStyle="1" w:styleId="Small">
    <w:name w:val="Small"/>
    <w:basedOn w:val="DefaultParagraphFont"/>
    <w:rsid w:val="002130DC"/>
    <w:rPr>
      <w:sz w:val="16"/>
    </w:rPr>
  </w:style>
  <w:style w:type="paragraph" w:customStyle="1" w:styleId="WideTable">
    <w:name w:val="Wide Table"/>
    <w:basedOn w:val="Normal"/>
    <w:rsid w:val="00213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0DC"/>
  </w:style>
  <w:style w:type="paragraph" w:styleId="Quote">
    <w:name w:val="Quote"/>
    <w:basedOn w:val="Heading1"/>
    <w:link w:val="QuoteChar"/>
    <w:qFormat/>
    <w:rsid w:val="00213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0DC"/>
    <w:pPr>
      <w:pageBreakBefore/>
    </w:pPr>
  </w:style>
  <w:style w:type="paragraph" w:customStyle="1" w:styleId="Border">
    <w:name w:val="Border"/>
    <w:basedOn w:val="Normal"/>
    <w:qFormat/>
    <w:rsid w:val="00213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0DC"/>
    <w:rPr>
      <w:u w:val="single"/>
    </w:rPr>
  </w:style>
  <w:style w:type="character" w:customStyle="1" w:styleId="BoldandItalics">
    <w:name w:val="Bold and Italics"/>
    <w:qFormat/>
    <w:rsid w:val="002130DC"/>
    <w:rPr>
      <w:b/>
      <w:i/>
      <w:u w:val="none"/>
    </w:rPr>
  </w:style>
  <w:style w:type="paragraph" w:styleId="BalloonText">
    <w:name w:val="Balloon Text"/>
    <w:basedOn w:val="Normal"/>
    <w:link w:val="BalloonTextChar"/>
    <w:rsid w:val="00213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0DC"/>
    <w:pPr>
      <w:spacing w:before="0" w:after="0"/>
    </w:pPr>
  </w:style>
  <w:style w:type="paragraph" w:customStyle="1" w:styleId="BodyTextBold">
    <w:name w:val="Body Text Bold"/>
    <w:basedOn w:val="BodyText"/>
    <w:qFormat/>
    <w:rsid w:val="002130DC"/>
    <w:rPr>
      <w:b/>
    </w:rPr>
  </w:style>
  <w:style w:type="character" w:styleId="Hyperlink">
    <w:name w:val="Hyperlink"/>
    <w:basedOn w:val="DefaultParagraphFont"/>
    <w:uiPriority w:val="99"/>
    <w:unhideWhenUsed/>
    <w:rsid w:val="00D16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4420</Characters>
  <Application>Microsoft Office Word</Application>
  <DocSecurity>0</DocSecurity>
  <Lines>200</Lines>
  <Paragraphs>105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TLIB0128 Conduct pre-movement checks on motive power units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