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C88" w:rsidP="00CE1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TLIB0128 Conduct pre-movement checks on motive power units</w:t>
      </w:r>
      <w:r>
        <w:fldChar w:fldCharType="end"/>
      </w:r>
    </w:p>
    <w:p w:rsidR="00CE1C88" w:rsidP="00CE1C88">
      <w:pPr>
        <w:pStyle w:val="Version"/>
        <w:sectPr w:rsidSect="001C0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0DAD" w:rsidP="001C0DAD">
      <w:pPr>
        <w:pStyle w:val="SuperHeading"/>
      </w:pPr>
      <w:r w:rsidRPr="001C0DAD">
        <w:t>TLIB0128 Conduct pre-movement checks on motive power units</w:t>
      </w:r>
    </w:p>
    <w:p w:rsidR="00000000" w:rsidRPr="001C0DAD" w:rsidP="001C0DAD">
      <w:pPr>
        <w:pStyle w:val="Heading1"/>
      </w:pPr>
      <w:bookmarkStart w:id="1" w:name="O_1195028"/>
      <w:bookmarkEnd w:id="1"/>
      <w:r w:rsidRPr="001C0D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Release 2</w:t>
            </w:r>
            <w:r w:rsidRPr="001C0DAD">
              <w:t>. This is the second release of this unit of competency in the TLI Transport and Logistics Training Package:</w:t>
            </w:r>
          </w:p>
          <w:p w:rsidR="00000000" w:rsidRPr="001C0DAD" w:rsidP="001C0DAD">
            <w:pPr>
              <w:pStyle w:val="ListBullet"/>
            </w:pPr>
            <w:r w:rsidRPr="001C0DAD">
              <w:t>Minor statement changes in Performance Criteria</w:t>
            </w:r>
          </w:p>
          <w:p w:rsidR="00000000" w:rsidRPr="001C0DAD" w:rsidP="001C0DAD">
            <w:pPr>
              <w:pStyle w:val="ListBullet"/>
            </w:pPr>
            <w:r w:rsidRPr="001C0DAD">
              <w:t>Minor statement changes in Performance Evidence</w:t>
            </w:r>
          </w:p>
          <w:p w:rsidR="00000000" w:rsidRPr="001C0DAD" w:rsidP="001C0DAD">
            <w:pPr>
              <w:pStyle w:val="ListBullet"/>
            </w:pPr>
            <w:r w:rsidRPr="001C0DAD">
              <w:t>Mi</w:t>
            </w:r>
            <w:r w:rsidRPr="001C0DAD">
              <w:t>nor statement changes in Knowledge Evidence</w:t>
            </w:r>
          </w:p>
          <w:p w:rsidR="00000000" w:rsidP="001C0DAD">
            <w:pPr>
              <w:pStyle w:val="ListBullet"/>
              <w:rPr>
                <w:lang w:val="en-NZ"/>
              </w:rPr>
            </w:pPr>
            <w:r w:rsidRPr="001C0DAD">
              <w:t>Minor statement changes in Assessment Conditions.</w:t>
            </w:r>
          </w:p>
        </w:tc>
      </w:tr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Release 1</w:t>
            </w:r>
            <w:r w:rsidRPr="001C0DAD">
              <w:t>. This is the first release of this unit of competency in the TLI Transport and Logistics Training Package.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2" w:name="O_1195027"/>
      <w:bookmarkEnd w:id="2"/>
      <w:r w:rsidRPr="001C0DA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This</w:t>
            </w:r>
            <w:r w:rsidRPr="001C0DAD">
              <w:t xml:space="preserve"> unit involves the skills and knowledge required to conduct pre-movement checks on motive power units in accordance with relevant  workplace procedures, rules and codes of practice.</w:t>
            </w:r>
          </w:p>
          <w:p w:rsidR="00000000" w:rsidRPr="001C0DAD" w:rsidP="001C0DAD">
            <w:pPr>
              <w:pStyle w:val="BodyText"/>
            </w:pPr>
            <w:r w:rsidRPr="001C0DAD">
              <w:t>It includes conducting pre-start checks, and starting and positioning moti</w:t>
            </w:r>
            <w:r w:rsidRPr="001C0DAD">
              <w:t>ve power units in accordance with workplace requirements.</w:t>
            </w:r>
          </w:p>
          <w:p w:rsidR="00000000" w:rsidRPr="001C0DAD" w:rsidP="001C0DAD">
            <w:pPr>
              <w:pStyle w:val="BodyText"/>
            </w:pPr>
            <w:r w:rsidRPr="001C0DAD">
              <w:t>This unit applies to people required to carry out these activities as part of a maintenance role within a defined location.</w:t>
            </w:r>
          </w:p>
          <w:p w:rsidR="00000000" w:rsidRPr="001C0DAD" w:rsidP="001C0DAD">
            <w:pPr>
              <w:pStyle w:val="BodyText"/>
            </w:pPr>
            <w:r w:rsidRPr="001C0DAD">
              <w:t>No licensing, legislative or certification requirements apply to this unit</w:t>
            </w:r>
            <w:r w:rsidRPr="001C0DAD">
              <w:t xml:space="preserve"> at the time of publication.</w:t>
            </w:r>
          </w:p>
        </w:tc>
      </w:tr>
    </w:tbl>
    <w:p w:rsidR="00CE1C88" w:rsidP="001C0DAD">
      <w:pPr>
        <w:pStyle w:val="BodyText"/>
      </w:pPr>
    </w:p>
    <w:p w:rsidR="00CE1C88" w:rsidP="001C0DAD">
      <w:pPr>
        <w:pStyle w:val="BodyText"/>
      </w:pPr>
    </w:p>
    <w:p w:rsidR="00000000" w:rsidRPr="001C0DAD" w:rsidP="001C0DAD">
      <w:pPr>
        <w:pStyle w:val="Heading1"/>
      </w:pPr>
      <w:bookmarkStart w:id="3" w:name="O_1195026"/>
      <w:bookmarkEnd w:id="3"/>
      <w:r w:rsidRPr="001C0D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Not applicable.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4" w:name="O_1195025"/>
      <w:bookmarkEnd w:id="4"/>
      <w:r w:rsidRPr="001C0D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B – Equipment Checking and Maintenance.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5" w:name="O_1195024"/>
      <w:bookmarkEnd w:id="5"/>
      <w:r w:rsidRPr="001C0D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Rail sector.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6" w:name="O_1195023"/>
      <w:bookmarkEnd w:id="6"/>
      <w:r w:rsidRPr="001C0D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1988"/>
        <w:gridCol w:w="1"/>
        <w:gridCol w:w="509"/>
        <w:gridCol w:w="6367"/>
      </w:tblGrid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PERFORMANCE CRITERIA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Performance criteria describe the performance needed to demonstrate achievement of the element.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Carry out pre-start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Allocation of motive power units is checked in conjunction with appropriate personnel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Motive power unit to be inspected and prepared is located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Completion of all maintenance activities is confirmed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Checks for safety controls are conducted in accordance with workplace procedures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Internal and external integrity checks are conducted in accordance with workplace procedures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Fluid levels are checked and appropriate actions taken, as required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Start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Motive power unit is started in accordance with manufacturer instructions and/or workplace procedures, and faults are recognised, diagnosed, reported and recorded in appropriate records for follow-up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Hazards are identified, risks are assessed and risk control measures are implemented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 xml:space="preserve">For critical or serious equipment faults that cannot be readily rectified, motive power unit is shut down, faulty equipment is isolated and tagged, and problem </w:t>
            </w:r>
            <w:r w:rsidRPr="001C0DAD">
              <w:t>is reported for rectification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 xml:space="preserve">All instruments and gauges are observed, readings are interpreted to confirm effective air and electrical operation, and where a problem is indicated, actions </w:t>
            </w:r>
            <w:r w:rsidRPr="001C0DAD">
              <w:t>are taken to determine the cause and to rectify or report the situation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Fluid levels are rechecked after starting and appropriate actions are taken in accordance with workplace procedures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Pre-movement checks are carried out to ensure motive p</w:t>
            </w:r>
            <w:r w:rsidRPr="001C0DAD">
              <w:t>ower unit is braking and powering effectively and is safe to move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All required documentation concerning inspecting the motive power unit is completed and processed in accordance with workplace procedures and regulatory require</w:t>
            </w:r>
            <w:r w:rsidRPr="001C0DAD">
              <w:t>ments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 xml:space="preserve">Logbook and other maintenance records on the motive power unit are completed and processed in accordance with workplace procedures </w:t>
            </w:r>
            <w:r w:rsidRPr="001C0DAD">
              <w:t>and regulatory requirements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Position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Authority to move and position motive power unit is obtained and relevant personnel are advised of intention and procedures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Relevant personnel are made aware that motive power unit is about to be moved in accordance with workplace procedures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Motive power unit is operated in accordance with standard procedures and regulatory requirements, and within operating and operational constraints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Motive power unit is positioned in accordance with operational requirements and directions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Moti</w:t>
            </w:r>
            <w:r w:rsidRPr="001C0DAD">
              <w:t>ve power unit performance is monitored during operation to confirm effective operation and/or to identify defects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Equipment defects are identified, reported, rectified and recorded or relevant personnel are advised for assistance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Relevant work health and safety (WHS)/occupational health and safety (OHS) and regulatory requirements are followed to ensure safety and to prevent injury and damage</w:t>
            </w:r>
          </w:p>
        </w:tc>
      </w:tr>
      <w:tr w:rsidTr="00CE1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rPr>
                <w:rStyle w:val="SpecialBold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Relevant personnel are advised that the motive power unit is secured in the require</w:t>
            </w:r>
            <w:r w:rsidRPr="001C0DAD">
              <w:t>d position and is ready for service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7" w:name="O_1195022"/>
      <w:bookmarkEnd w:id="7"/>
      <w:r w:rsidRPr="001C0D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Foundation skills essential to performance are explicit in the performance criteria of this unit of competency.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8" w:name="O_1195021"/>
      <w:bookmarkEnd w:id="8"/>
      <w:r w:rsidRPr="001C0D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Range is restricted to essential operating conditions and any other variables essential to the work environment.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9" w:name="O_1195020"/>
      <w:bookmarkEnd w:id="9"/>
      <w:r w:rsidRPr="001C0D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>This unit replaces and is equivalent to TLIB0128A Conduct pre-movement checks on motive power u</w:t>
            </w:r>
            <w:r w:rsidRPr="001C0DAD">
              <w:t>nits.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10" w:name="O_1195029"/>
      <w:bookmarkEnd w:id="10"/>
      <w:r w:rsidRPr="001C0DAD">
        <w:t>Links</w:t>
      </w:r>
    </w:p>
    <w:p w:rsidR="00000000" w:rsidRPr="001C0DAD" w:rsidP="00CE1C88">
      <w:pPr>
        <w:pStyle w:val="BodyText"/>
      </w:pPr>
      <w:r w:rsidRPr="001C0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6C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0DAD" w:rsidP="00CE1C88">
      <w:pPr>
        <w:pStyle w:val="BodyText"/>
        <w:sectPr w:rsidSect="001C0D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DAD" w:rsidP="001C0DAD">
      <w:pPr>
        <w:pStyle w:val="SuperHeading"/>
      </w:pPr>
      <w:r w:rsidRPr="001C0DAD">
        <w:t xml:space="preserve">Assessment </w:t>
      </w:r>
      <w:r w:rsidRPr="001C0DAD">
        <w:t>Requirements for TLIB0128 Conduct pre-movement checks on motive power units</w:t>
      </w:r>
    </w:p>
    <w:p w:rsidR="00000000" w:rsidRPr="001C0DAD" w:rsidP="001C0DAD">
      <w:pPr>
        <w:pStyle w:val="Heading1"/>
      </w:pPr>
      <w:bookmarkStart w:id="11" w:name="O_1195018"/>
      <w:bookmarkEnd w:id="11"/>
      <w:r w:rsidRPr="001C0D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Release 2.</w:t>
            </w:r>
            <w:r w:rsidRPr="001C0DAD">
              <w:t xml:space="preserve"> This is the second release of this unit of competency in the TLI Transport and Logistics Training Package:</w:t>
            </w:r>
          </w:p>
          <w:p w:rsidR="00000000" w:rsidRPr="001C0DAD" w:rsidP="001C0DAD">
            <w:pPr>
              <w:pStyle w:val="ListBullet"/>
            </w:pPr>
            <w:r w:rsidRPr="001C0DAD">
              <w:t>Minor statement change</w:t>
            </w:r>
            <w:r w:rsidRPr="001C0DAD">
              <w:t>s in Performance Criteria</w:t>
            </w:r>
          </w:p>
          <w:p w:rsidR="00000000" w:rsidRPr="001C0DAD" w:rsidP="001C0DAD">
            <w:pPr>
              <w:pStyle w:val="ListBullet"/>
            </w:pPr>
            <w:r w:rsidRPr="001C0DAD">
              <w:t>Minor statement changes in Performance Evidence</w:t>
            </w:r>
          </w:p>
          <w:p w:rsidR="00000000" w:rsidRPr="001C0DAD" w:rsidP="001C0DAD">
            <w:pPr>
              <w:pStyle w:val="ListBullet"/>
            </w:pPr>
            <w:r w:rsidRPr="001C0DAD">
              <w:t>Minor statement changes in Knowledge Evidence</w:t>
            </w:r>
          </w:p>
          <w:p w:rsidR="00000000" w:rsidP="001C0DAD">
            <w:pPr>
              <w:pStyle w:val="ListBullet"/>
              <w:rPr>
                <w:lang w:val="en-NZ"/>
              </w:rPr>
            </w:pPr>
            <w:r w:rsidRPr="001C0DAD">
              <w:t>Minor statement changes in Assessment Conditions.</w:t>
            </w:r>
          </w:p>
        </w:tc>
      </w:tr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rPr>
                <w:rStyle w:val="SpecialBold"/>
              </w:rPr>
              <w:t>Release 1</w:t>
            </w:r>
            <w:r w:rsidRPr="001C0DAD">
              <w:t xml:space="preserve">. This is the first release of this unit of competency in the TLI Transport </w:t>
            </w:r>
            <w:r w:rsidRPr="001C0DAD">
              <w:t>and Logistics Training Package.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12" w:name="O_1195017"/>
      <w:bookmarkEnd w:id="12"/>
      <w:r w:rsidRPr="001C0D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 xml:space="preserve">Evidence required to demonstrate competence in this unit must be relevant to and satisfy all of the requirements of the elements and performance criteria on </w:t>
            </w:r>
            <w:r w:rsidRPr="001C0DAD">
              <w:t>at least one occasion and include:</w:t>
            </w:r>
          </w:p>
        </w:tc>
      </w:tr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ListBullet"/>
            </w:pPr>
            <w:r w:rsidRPr="001C0DAD">
              <w:t>adapting to differences in motive power units and associated equipment and workplace procedures</w:t>
            </w:r>
          </w:p>
          <w:p w:rsidR="00000000" w:rsidRPr="001C0DAD" w:rsidP="001C0DAD">
            <w:pPr>
              <w:pStyle w:val="ListBullet"/>
            </w:pPr>
            <w:r w:rsidRPr="001C0DAD">
              <w:t>applying relevant workplace procedures</w:t>
            </w:r>
          </w:p>
          <w:p w:rsidR="00000000" w:rsidRPr="001C0DAD" w:rsidP="001C0DAD">
            <w:pPr>
              <w:pStyle w:val="ListBullet"/>
            </w:pPr>
            <w:r w:rsidRPr="001C0DAD">
              <w:t>communicating effectively with others when inspecting and preparing a motive power u</w:t>
            </w:r>
            <w:r w:rsidRPr="001C0DAD">
              <w:t>nit</w:t>
            </w:r>
          </w:p>
          <w:p w:rsidR="00000000" w:rsidRPr="001C0DAD" w:rsidP="001C0DAD">
            <w:pPr>
              <w:pStyle w:val="ListBullet"/>
            </w:pPr>
            <w:r w:rsidRPr="001C0DAD">
              <w:t>identifying job hazards and taking required actions to minimise, control or eliminate identified hazards including:</w:t>
            </w:r>
          </w:p>
          <w:p w:rsidR="00000000" w:rsidRPr="001C0DAD" w:rsidP="001C0DAD">
            <w:pPr>
              <w:pStyle w:val="ListBullet2"/>
            </w:pPr>
            <w:r w:rsidRPr="001C0DAD">
              <w:t>modifying activities depending on operational contingencies, risk situations and environments</w:t>
            </w:r>
          </w:p>
          <w:p w:rsidR="00000000" w:rsidRPr="001C0DAD" w:rsidP="001C0DAD">
            <w:pPr>
              <w:pStyle w:val="ListBullet"/>
            </w:pPr>
            <w:r w:rsidRPr="001C0DAD">
              <w:t>identifying who is responsible for authorising the movement of rolling stock</w:t>
            </w:r>
          </w:p>
          <w:p w:rsidR="00000000" w:rsidRPr="001C0DAD" w:rsidP="001C0DAD">
            <w:pPr>
              <w:pStyle w:val="ListBullet"/>
            </w:pPr>
            <w:r w:rsidRPr="001C0DAD">
              <w:t>interpreting and following instructions and prioritising work</w:t>
            </w:r>
          </w:p>
          <w:p w:rsidR="00000000" w:rsidRPr="001C0DAD" w:rsidP="001C0DAD">
            <w:pPr>
              <w:pStyle w:val="ListBullet"/>
            </w:pPr>
            <w:r w:rsidRPr="001C0DAD">
              <w:t>reading and interpreting relevant instructions, procedures, information and signs.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13" w:name="O_1195016"/>
      <w:bookmarkEnd w:id="13"/>
      <w:r w:rsidRPr="001C0D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D">
            <w:pPr>
              <w:pStyle w:val="BodyText"/>
              <w:rPr>
                <w:lang w:val="en-NZ"/>
              </w:rPr>
            </w:pPr>
            <w:r w:rsidRPr="001C0D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ListBullet"/>
            </w:pPr>
            <w:r w:rsidRPr="001C0DAD">
              <w:t>documentation requirements when inspecting and preparin</w:t>
            </w:r>
            <w:r w:rsidRPr="001C0DAD">
              <w:t>g a motive power unit</w:t>
            </w:r>
          </w:p>
          <w:p w:rsidR="00000000" w:rsidRPr="001C0DAD" w:rsidP="001C0DAD">
            <w:pPr>
              <w:pStyle w:val="ListBullet"/>
            </w:pPr>
            <w:r w:rsidRPr="001C0DAD">
              <w:t>hazardous situations, risk control measures and workplace procedures when preparing and starting up a motive power unit</w:t>
            </w:r>
          </w:p>
          <w:p w:rsidR="00000000" w:rsidRPr="001C0DAD" w:rsidP="001C0DAD">
            <w:pPr>
              <w:pStyle w:val="ListBullet"/>
            </w:pPr>
            <w:r w:rsidRPr="001C0DAD">
              <w:t>procedures for conducting pre-movement checks prior to moving a motive power unit</w:t>
            </w:r>
          </w:p>
          <w:p w:rsidR="00000000" w:rsidRPr="001C0DAD" w:rsidP="001C0DAD">
            <w:pPr>
              <w:pStyle w:val="ListBullet"/>
            </w:pPr>
            <w:r w:rsidRPr="001C0DAD">
              <w:t xml:space="preserve">relevant work health and safety </w:t>
            </w:r>
            <w:r w:rsidRPr="001C0DAD">
              <w:t>(WHS)/occupational health and safety (OHS) and rail safety requirements</w:t>
            </w:r>
          </w:p>
          <w:p w:rsidR="00000000" w:rsidRPr="001C0DAD" w:rsidP="001C0DAD">
            <w:pPr>
              <w:pStyle w:val="ListBullet"/>
            </w:pPr>
            <w:r w:rsidRPr="001C0DAD">
              <w:t>start-up requirements and workplace procedures for motive power units.</w:t>
            </w:r>
          </w:p>
        </w:tc>
      </w:tr>
    </w:tbl>
    <w:p w:rsidR="00000000" w:rsidRPr="001C0DAD" w:rsidP="001C0DAD">
      <w:pPr>
        <w:pStyle w:val="NoPaddingFontSize1"/>
      </w:pPr>
    </w:p>
    <w:p w:rsidR="00000000" w:rsidRPr="001C0DAD" w:rsidP="001C0DAD">
      <w:pPr>
        <w:pStyle w:val="AllowPageBreak"/>
      </w:pPr>
    </w:p>
    <w:p w:rsidR="00000000" w:rsidRPr="001C0DAD" w:rsidP="001C0DAD">
      <w:pPr>
        <w:pStyle w:val="Heading1"/>
      </w:pPr>
      <w:bookmarkStart w:id="14" w:name="O_1195015"/>
      <w:bookmarkEnd w:id="14"/>
      <w:r w:rsidRPr="001C0D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D" w:rsidP="001C0DAD">
            <w:pPr>
              <w:pStyle w:val="BodyText"/>
            </w:pPr>
            <w:r w:rsidRPr="001C0DAD">
              <w:t xml:space="preserve">Assessors must hold credentials specified within the Standards for Registered Training Organisations current at the time of assessment. </w:t>
            </w:r>
          </w:p>
          <w:p w:rsidR="00000000" w:rsidRPr="001C0DAD" w:rsidP="001C0DAD">
            <w:pPr>
              <w:pStyle w:val="BodyText"/>
            </w:pPr>
            <w:r w:rsidRPr="001C0DAD">
              <w:t>Assessment must satisfy the Principles of Assessment and Rules of Evidence and all regulatory requirements included wit</w:t>
            </w:r>
            <w:r w:rsidRPr="001C0DAD">
              <w:t>hin the Standards for Registered Training Organisations current at the time of assessment.</w:t>
            </w:r>
          </w:p>
          <w:p w:rsidR="00000000" w:rsidRPr="001C0DAD" w:rsidP="001C0DAD">
            <w:pPr>
              <w:pStyle w:val="BodyText"/>
            </w:pPr>
            <w:r w:rsidRPr="001C0DAD">
              <w:t>Assessment must occur in workplace operational situations or, where this is not available, in simulated workplace operational situations that replicate rail corridor</w:t>
            </w:r>
            <w:r w:rsidRPr="001C0DAD">
              <w:t xml:space="preserve"> workplace conditions.</w:t>
            </w:r>
          </w:p>
          <w:p w:rsidR="00000000" w:rsidRPr="001C0DAD" w:rsidP="001C0DAD">
            <w:pPr>
              <w:pStyle w:val="BodyText"/>
            </w:pPr>
            <w:r w:rsidRPr="001C0D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0DAD" w:rsidP="001C0DAD">
            <w:pPr>
              <w:pStyle w:val="BodyText"/>
            </w:pPr>
            <w:r w:rsidRPr="001C0DAD">
              <w:t>Resources for assessment include access to:</w:t>
            </w:r>
          </w:p>
          <w:p w:rsidR="00000000" w:rsidRPr="001C0DAD" w:rsidP="001C0DAD">
            <w:pPr>
              <w:pStyle w:val="ListBullet"/>
            </w:pPr>
            <w:r w:rsidRPr="001C0DAD">
              <w:t xml:space="preserve">a range of relevant </w:t>
            </w:r>
            <w:r w:rsidRPr="001C0DAD">
              <w:t>exercises, case studies and/or simulations</w:t>
            </w:r>
          </w:p>
          <w:p w:rsidR="00000000" w:rsidRPr="001C0DAD" w:rsidP="001C0DAD">
            <w:pPr>
              <w:pStyle w:val="ListBullet"/>
            </w:pPr>
            <w:r w:rsidRPr="001C0DAD">
              <w:t>relevant and appropriate materials, tools, equipment and personal protective equipment (PPE) currently used in industry</w:t>
            </w:r>
          </w:p>
          <w:p w:rsidR="00000000" w:rsidRPr="001C0DAD" w:rsidP="001C0DAD">
            <w:pPr>
              <w:pStyle w:val="ListBullet"/>
            </w:pPr>
            <w:r w:rsidRPr="001C0DAD">
              <w:t>applicable documentation including workplace procedures, rules, codes of practice and operati</w:t>
            </w:r>
            <w:r w:rsidRPr="001C0DAD">
              <w:t>on manuals.</w:t>
            </w:r>
          </w:p>
        </w:tc>
      </w:tr>
    </w:tbl>
    <w:p w:rsidR="00CE1C88" w:rsidP="001C0DAD">
      <w:pPr>
        <w:pStyle w:val="NoPaddingFontSize1"/>
      </w:pPr>
    </w:p>
    <w:p w:rsidR="00CE1C88" w:rsidP="001C0DAD">
      <w:pPr>
        <w:pStyle w:val="NoPaddingFontSize1"/>
      </w:pPr>
    </w:p>
    <w:p w:rsidR="00000000" w:rsidRPr="001C0DAD" w:rsidP="001C0DAD">
      <w:pPr>
        <w:pStyle w:val="Heading1"/>
      </w:pPr>
      <w:bookmarkStart w:id="15" w:name="O_1195030"/>
      <w:bookmarkEnd w:id="15"/>
      <w:r w:rsidRPr="001C0DAD">
        <w:t>Links</w:t>
      </w:r>
    </w:p>
    <w:p w:rsidR="00000000" w:rsidRPr="001C0DAD" w:rsidP="00CE1C88">
      <w:pPr>
        <w:pStyle w:val="BodyText"/>
      </w:pPr>
      <w:r w:rsidRPr="001C0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6C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0DAD" w:rsidP="001C0DAD"/>
    <w:sectPr w:rsidSect="001C0D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 w:rsidRPr="00CE1C88" w:rsidP="00CE1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8" w:rsidP="001C0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1C88" w:rsidP="001C0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1C88" w:rsidP="001C0D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 w:rsidP="001C0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C88">
      <w:t>Approved</w:t>
    </w:r>
    <w:r w:rsidR="00CE1C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C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C88">
      <w:rPr>
        <w:noProof/>
      </w:rPr>
      <w:t>6</w:t>
    </w:r>
    <w:r>
      <w:rPr>
        <w:noProof/>
      </w:rPr>
      <w:fldChar w:fldCharType="end"/>
    </w:r>
  </w:p>
  <w:p w:rsidR="001C0DAD" w:rsidP="001C0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C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C88">
      <w:t>Industry Skills Australia</w:t>
    </w:r>
    <w:r w:rsidR="00CE1C88">
      <w:fldChar w:fldCharType="end"/>
    </w:r>
  </w:p>
  <w:p w:rsidR="001C0DAD" w:rsidP="001C0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DAD" w:rsidRPr="00CE1C88" w:rsidP="00CE1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8" w:rsidRPr="002D2AF8" w:rsidP="001C0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TLIB0128 Conduct pre-movement checks on motive power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1C88" w:rsidP="001C0D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D" w:rsidRPr="002D2AF8" w:rsidP="001C0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C88">
      <w:t>TLIB0128 Conduct pre-movement checks on motive power units</w:t>
    </w:r>
    <w:r w:rsidR="00CE1C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C88">
      <w:rPr>
        <w:noProof/>
      </w:rPr>
      <w:t>1 March 2025</w:t>
    </w:r>
    <w:r>
      <w:fldChar w:fldCharType="end"/>
    </w:r>
  </w:p>
  <w:p w:rsidR="001C0DAD" w:rsidP="001C0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647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AE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61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DAD"/>
  </w:style>
  <w:style w:type="character" w:customStyle="1" w:styleId="Heading1Char">
    <w:name w:val="Heading 1 Char"/>
    <w:basedOn w:val="DefaultParagraphFont"/>
    <w:link w:val="Heading1"/>
    <w:rsid w:val="001C0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D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DAD"/>
    <w:rPr>
      <w:b/>
      <w:spacing w:val="0"/>
    </w:rPr>
  </w:style>
  <w:style w:type="paragraph" w:styleId="ListBullet2">
    <w:name w:val="List Bullet 2"/>
    <w:basedOn w:val="List2"/>
    <w:rsid w:val="001C0D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DAD"/>
    <w:rPr>
      <w:i/>
    </w:rPr>
  </w:style>
  <w:style w:type="paragraph" w:styleId="Caption">
    <w:name w:val="caption"/>
    <w:basedOn w:val="BodyText"/>
    <w:next w:val="Normal"/>
    <w:qFormat/>
    <w:rsid w:val="001C0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DAD"/>
  </w:style>
  <w:style w:type="paragraph" w:styleId="TableofFigures">
    <w:name w:val="table of figures"/>
    <w:basedOn w:val="Normal"/>
    <w:next w:val="Normal"/>
    <w:semiHidden/>
    <w:rsid w:val="001C0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D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DAD"/>
    <w:rPr>
      <w:rFonts w:ascii="Wingdings" w:hAnsi="Wingdings"/>
    </w:rPr>
  </w:style>
  <w:style w:type="paragraph" w:customStyle="1" w:styleId="TableHeading">
    <w:name w:val="Table Heading"/>
    <w:basedOn w:val="HeadingBase"/>
    <w:rsid w:val="001C0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DAD"/>
    <w:rPr>
      <w:color w:val="0033CC"/>
      <w:u w:val="none"/>
    </w:rPr>
  </w:style>
  <w:style w:type="paragraph" w:customStyle="1" w:styleId="BodyTextRight">
    <w:name w:val="Body Text Right"/>
    <w:basedOn w:val="BodyText"/>
    <w:rsid w:val="001C0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D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DAD"/>
    <w:rPr>
      <w:sz w:val="32"/>
    </w:rPr>
  </w:style>
  <w:style w:type="paragraph" w:customStyle="1" w:styleId="HeadingProcedure">
    <w:name w:val="Heading Procedure"/>
    <w:basedOn w:val="HeadingBase"/>
    <w:next w:val="Normal"/>
    <w:rsid w:val="001C0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DAD"/>
    <w:pPr>
      <w:spacing w:before="60" w:after="60"/>
    </w:pPr>
  </w:style>
  <w:style w:type="paragraph" w:styleId="ListContinue">
    <w:name w:val="List Continue"/>
    <w:basedOn w:val="List"/>
    <w:rsid w:val="001C0DAD"/>
    <w:pPr>
      <w:ind w:firstLine="0"/>
    </w:pPr>
  </w:style>
  <w:style w:type="paragraph" w:customStyle="1" w:styleId="ListNote">
    <w:name w:val="List Note"/>
    <w:basedOn w:val="List"/>
    <w:rsid w:val="001C0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DAD"/>
    <w:rPr>
      <w:rFonts w:ascii="Courier New" w:hAnsi="Courier New"/>
    </w:rPr>
  </w:style>
  <w:style w:type="paragraph" w:customStyle="1" w:styleId="NoteBullet">
    <w:name w:val="Note Bullet"/>
    <w:basedOn w:val="Note"/>
    <w:rsid w:val="001C0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D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DAD"/>
    <w:rPr>
      <w:b/>
      <w:smallCaps/>
    </w:rPr>
  </w:style>
  <w:style w:type="paragraph" w:customStyle="1" w:styleId="TableListNumber">
    <w:name w:val="Table List Number"/>
    <w:basedOn w:val="ListNumber"/>
    <w:rsid w:val="001C0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DAD"/>
    <w:pPr>
      <w:numPr>
        <w:numId w:val="9"/>
      </w:numPr>
    </w:pPr>
  </w:style>
  <w:style w:type="paragraph" w:customStyle="1" w:styleId="ListAlpha2">
    <w:name w:val="List Alpha 2"/>
    <w:basedOn w:val="List2"/>
    <w:rsid w:val="001C0DAD"/>
    <w:pPr>
      <w:numPr>
        <w:numId w:val="8"/>
      </w:numPr>
    </w:pPr>
  </w:style>
  <w:style w:type="paragraph" w:styleId="List2">
    <w:name w:val="List 2"/>
    <w:basedOn w:val="BodyText"/>
    <w:rsid w:val="001C0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D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D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DAD"/>
    <w:pPr>
      <w:numPr>
        <w:numId w:val="4"/>
      </w:numPr>
    </w:pPr>
  </w:style>
  <w:style w:type="paragraph" w:styleId="ListContinue2">
    <w:name w:val="List Continue 2"/>
    <w:basedOn w:val="List2"/>
    <w:rsid w:val="001C0DAD"/>
    <w:pPr>
      <w:ind w:firstLine="0"/>
    </w:pPr>
  </w:style>
  <w:style w:type="paragraph" w:styleId="ListContinue3">
    <w:name w:val="List Continue 3"/>
    <w:basedOn w:val="List3"/>
    <w:rsid w:val="001C0DAD"/>
    <w:pPr>
      <w:ind w:left="1021" w:firstLine="0"/>
    </w:pPr>
  </w:style>
  <w:style w:type="paragraph" w:styleId="ListContinue4">
    <w:name w:val="List Continue 4"/>
    <w:basedOn w:val="List4"/>
    <w:rsid w:val="001C0DAD"/>
    <w:pPr>
      <w:ind w:firstLine="0"/>
    </w:pPr>
  </w:style>
  <w:style w:type="paragraph" w:styleId="ListContinue5">
    <w:name w:val="List Continue 5"/>
    <w:basedOn w:val="List5"/>
    <w:rsid w:val="001C0DAD"/>
    <w:pPr>
      <w:ind w:firstLine="0"/>
    </w:pPr>
  </w:style>
  <w:style w:type="paragraph" w:styleId="ListNumber3">
    <w:name w:val="List Number 3"/>
    <w:basedOn w:val="List3"/>
    <w:rsid w:val="001C0DAD"/>
    <w:pPr>
      <w:numPr>
        <w:numId w:val="5"/>
      </w:numPr>
    </w:pPr>
  </w:style>
  <w:style w:type="paragraph" w:styleId="ListNumber4">
    <w:name w:val="List Number 4"/>
    <w:basedOn w:val="List4"/>
    <w:rsid w:val="001C0DAD"/>
    <w:pPr>
      <w:numPr>
        <w:numId w:val="6"/>
      </w:numPr>
    </w:pPr>
  </w:style>
  <w:style w:type="paragraph" w:styleId="ListNumber5">
    <w:name w:val="List Number 5"/>
    <w:basedOn w:val="List5"/>
    <w:rsid w:val="001C0DAD"/>
    <w:pPr>
      <w:numPr>
        <w:numId w:val="7"/>
      </w:numPr>
    </w:pPr>
  </w:style>
  <w:style w:type="paragraph" w:styleId="BlockText">
    <w:name w:val="Block Text"/>
    <w:basedOn w:val="Normal"/>
    <w:rsid w:val="001C0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DAD"/>
    <w:rPr>
      <w:sz w:val="16"/>
      <w:vertAlign w:val="superscript"/>
    </w:rPr>
  </w:style>
  <w:style w:type="character" w:customStyle="1" w:styleId="Symbols">
    <w:name w:val="Symbols"/>
    <w:basedOn w:val="DefaultParagraphFont"/>
    <w:rsid w:val="001C0DAD"/>
    <w:rPr>
      <w:rFonts w:ascii="Symbol" w:hAnsi="Symbol"/>
    </w:rPr>
  </w:style>
  <w:style w:type="character" w:customStyle="1" w:styleId="MenuOptions">
    <w:name w:val="Menu Options"/>
    <w:basedOn w:val="DefaultParagraphFont"/>
    <w:rsid w:val="001C0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DAD"/>
    <w:rPr>
      <w:b/>
    </w:rPr>
  </w:style>
  <w:style w:type="character" w:customStyle="1" w:styleId="Underlined">
    <w:name w:val="Underlined"/>
    <w:basedOn w:val="DefaultParagraphFont"/>
    <w:rsid w:val="001C0DAD"/>
    <w:rPr>
      <w:u w:val="single"/>
    </w:rPr>
  </w:style>
  <w:style w:type="paragraph" w:customStyle="1" w:styleId="TableBodyTextRight">
    <w:name w:val="Table Body Text Right"/>
    <w:basedOn w:val="TableBodyText"/>
    <w:rsid w:val="001C0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DAD"/>
    <w:rPr>
      <w:sz w:val="18"/>
    </w:rPr>
  </w:style>
  <w:style w:type="paragraph" w:customStyle="1" w:styleId="BodySmallRight">
    <w:name w:val="Body Small Right"/>
    <w:basedOn w:val="BodyTextRight"/>
    <w:rsid w:val="001C0DAD"/>
    <w:rPr>
      <w:sz w:val="18"/>
      <w:szCs w:val="18"/>
    </w:rPr>
  </w:style>
  <w:style w:type="paragraph" w:customStyle="1" w:styleId="MarginEdition">
    <w:name w:val="Margin Edition"/>
    <w:basedOn w:val="MarginNote"/>
    <w:rsid w:val="001C0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DAD"/>
    <w:rPr>
      <w:sz w:val="2"/>
      <w:szCs w:val="2"/>
    </w:rPr>
  </w:style>
  <w:style w:type="character" w:customStyle="1" w:styleId="Small">
    <w:name w:val="Small"/>
    <w:basedOn w:val="DefaultParagraphFont"/>
    <w:rsid w:val="001C0DAD"/>
    <w:rPr>
      <w:sz w:val="16"/>
    </w:rPr>
  </w:style>
  <w:style w:type="paragraph" w:customStyle="1" w:styleId="WideTable">
    <w:name w:val="Wide Table"/>
    <w:basedOn w:val="Normal"/>
    <w:rsid w:val="001C0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DAD"/>
  </w:style>
  <w:style w:type="paragraph" w:styleId="Quote">
    <w:name w:val="Quote"/>
    <w:basedOn w:val="Heading1"/>
    <w:link w:val="QuoteChar"/>
    <w:qFormat/>
    <w:rsid w:val="001C0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DAD"/>
    <w:pPr>
      <w:pageBreakBefore/>
    </w:pPr>
  </w:style>
  <w:style w:type="paragraph" w:customStyle="1" w:styleId="Border">
    <w:name w:val="Border"/>
    <w:basedOn w:val="Normal"/>
    <w:qFormat/>
    <w:rsid w:val="001C0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DAD"/>
    <w:rPr>
      <w:u w:val="single"/>
    </w:rPr>
  </w:style>
  <w:style w:type="character" w:customStyle="1" w:styleId="BoldandItalics">
    <w:name w:val="Bold and Italics"/>
    <w:qFormat/>
    <w:rsid w:val="001C0DAD"/>
    <w:rPr>
      <w:b/>
      <w:i/>
      <w:u w:val="none"/>
    </w:rPr>
  </w:style>
  <w:style w:type="paragraph" w:styleId="BalloonText">
    <w:name w:val="Balloon Text"/>
    <w:basedOn w:val="Normal"/>
    <w:link w:val="BalloonTextChar"/>
    <w:rsid w:val="001C0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DAD"/>
    <w:pPr>
      <w:spacing w:before="0" w:after="0"/>
    </w:pPr>
  </w:style>
  <w:style w:type="paragraph" w:customStyle="1" w:styleId="BodyTextBold">
    <w:name w:val="Body Text Bold"/>
    <w:basedOn w:val="BodyText"/>
    <w:qFormat/>
    <w:rsid w:val="001C0DAD"/>
    <w:rPr>
      <w:b/>
    </w:rPr>
  </w:style>
  <w:style w:type="character" w:styleId="Hyperlink">
    <w:name w:val="Hyperlink"/>
    <w:basedOn w:val="DefaultParagraphFont"/>
    <w:uiPriority w:val="99"/>
    <w:unhideWhenUsed/>
    <w:rsid w:val="00CE1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1182</Words>
  <Characters>7355</Characters>
  <Application>Microsoft Office Word</Application>
  <DocSecurity>0</DocSecurity>
  <Lines>262</Lines>
  <Paragraphs>147</Paragraphs>
  <ScaleCrop>false</ScaleCrop>
  <Company>Author-it Software Corporation Ltd.</Company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TLIB0128 Conduct pre-movement checks on motive power units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