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145F" w:rsidP="00CF14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TLIB0128 Conduct pre-movement checks on motive power units</w:t>
      </w:r>
      <w:r>
        <w:fldChar w:fldCharType="end"/>
      </w:r>
    </w:p>
    <w:p w:rsidR="00CF145F" w:rsidP="00CF145F">
      <w:pPr>
        <w:pStyle w:val="Version"/>
        <w:sectPr w:rsidSect="00D324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32435" w:rsidP="00D32435">
      <w:pPr>
        <w:pStyle w:val="SuperHeading"/>
      </w:pPr>
      <w:r w:rsidRPr="00D32435">
        <w:t>Assessment Requirements for TLIB0128 Conduct pre-movement checks on motive power units</w:t>
      </w:r>
    </w:p>
    <w:p w:rsidR="00000000" w:rsidRPr="00D32435" w:rsidP="00D32435">
      <w:pPr>
        <w:pStyle w:val="Heading1"/>
      </w:pPr>
      <w:bookmarkStart w:id="1" w:name="O_1195018"/>
      <w:bookmarkEnd w:id="1"/>
      <w:r w:rsidRPr="00D324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4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435" w:rsidP="00D32435">
            <w:pPr>
              <w:pStyle w:val="BodyText"/>
            </w:pPr>
            <w:r w:rsidRPr="00D32435">
              <w:rPr>
                <w:rStyle w:val="SpecialBold"/>
              </w:rPr>
              <w:t>Release 2.</w:t>
            </w:r>
            <w:r w:rsidRPr="00D32435">
              <w:t xml:space="preserve"> This is the second release of this unit of competency in the TLI Transport and Logistics Training Package:</w:t>
            </w:r>
          </w:p>
          <w:p w:rsidR="00000000" w:rsidRPr="00D32435" w:rsidP="00D32435">
            <w:pPr>
              <w:pStyle w:val="ListBullet"/>
            </w:pPr>
            <w:r w:rsidRPr="00D32435">
              <w:t>Minor statement changes in Performance Criteria</w:t>
            </w:r>
          </w:p>
          <w:p w:rsidR="00000000" w:rsidRPr="00D32435" w:rsidP="00D32435">
            <w:pPr>
              <w:pStyle w:val="ListBullet"/>
            </w:pPr>
            <w:r w:rsidRPr="00D32435">
              <w:t>Minor statement changes in Performance Evidence</w:t>
            </w:r>
          </w:p>
          <w:p w:rsidR="00000000" w:rsidRPr="00D32435" w:rsidP="00D32435">
            <w:pPr>
              <w:pStyle w:val="ListBullet"/>
            </w:pPr>
            <w:r w:rsidRPr="00D32435">
              <w:t>Minor statement changes in Knowledge Evidence</w:t>
            </w:r>
          </w:p>
          <w:p w:rsidR="00000000" w:rsidP="00D32435">
            <w:pPr>
              <w:pStyle w:val="ListBullet"/>
              <w:rPr>
                <w:lang w:val="en-NZ"/>
              </w:rPr>
            </w:pPr>
            <w:r w:rsidRPr="00D32435">
              <w:t>Minor statement changes in Assessment Conditions.</w:t>
            </w:r>
          </w:p>
        </w:tc>
      </w:tr>
      <w:tr w:rsidTr="00D324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435" w:rsidP="00D32435">
            <w:pPr>
              <w:pStyle w:val="BodyText"/>
            </w:pPr>
            <w:r w:rsidRPr="00D32435">
              <w:rPr>
                <w:rStyle w:val="SpecialBold"/>
              </w:rPr>
              <w:t>Release 1</w:t>
            </w:r>
            <w:r w:rsidRPr="00D32435">
              <w:t>. This is the first release of this unit of competency</w:t>
            </w:r>
            <w:r w:rsidRPr="00D32435">
              <w:t xml:space="preserve"> in the TLI Transport and Logistics Training Package.</w:t>
            </w:r>
          </w:p>
        </w:tc>
      </w:tr>
    </w:tbl>
    <w:p w:rsidR="00CF145F" w:rsidP="00D32435">
      <w:pPr>
        <w:pStyle w:val="NoPaddingFontSize1"/>
      </w:pPr>
    </w:p>
    <w:p w:rsidR="00CF145F" w:rsidP="00D32435">
      <w:pPr>
        <w:pStyle w:val="NoPaddingFontSize1"/>
      </w:pPr>
    </w:p>
    <w:p w:rsidR="00000000" w:rsidRPr="00D32435" w:rsidP="00D32435">
      <w:pPr>
        <w:pStyle w:val="Heading1"/>
      </w:pPr>
      <w:bookmarkStart w:id="2" w:name="O_1195017"/>
      <w:bookmarkEnd w:id="2"/>
      <w:r w:rsidRPr="00D3243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4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435">
            <w:pPr>
              <w:pStyle w:val="BodyText"/>
              <w:rPr>
                <w:lang w:val="en-NZ"/>
              </w:rPr>
            </w:pPr>
            <w:r w:rsidRPr="00D32435">
              <w:t xml:space="preserve">Evidence required to demonstrate competence in this unit must be relevant to and satisfy all of the requirements of the elements and performance </w:t>
            </w:r>
            <w:r w:rsidRPr="00D32435">
              <w:t>criteria on at least one occasion and include:</w:t>
            </w:r>
          </w:p>
        </w:tc>
      </w:tr>
      <w:tr w:rsidTr="00D324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435" w:rsidP="00D32435">
            <w:pPr>
              <w:pStyle w:val="ListBullet"/>
            </w:pPr>
            <w:r w:rsidRPr="00D32435">
              <w:t>adapting to differences in motive power units and associated equipment and workplace procedures</w:t>
            </w:r>
          </w:p>
          <w:p w:rsidR="00000000" w:rsidRPr="00D32435" w:rsidP="00D32435">
            <w:pPr>
              <w:pStyle w:val="ListBullet"/>
            </w:pPr>
            <w:r w:rsidRPr="00D32435">
              <w:t>applying relevant workplace procedures</w:t>
            </w:r>
          </w:p>
          <w:p w:rsidR="00000000" w:rsidRPr="00D32435" w:rsidP="00D32435">
            <w:pPr>
              <w:pStyle w:val="ListBullet"/>
            </w:pPr>
            <w:r w:rsidRPr="00D32435">
              <w:t>communicating effectively with others when inspecting and preparing a mo</w:t>
            </w:r>
            <w:r w:rsidRPr="00D32435">
              <w:t>tive power unit</w:t>
            </w:r>
          </w:p>
          <w:p w:rsidR="00000000" w:rsidRPr="00D32435" w:rsidP="00D32435">
            <w:pPr>
              <w:pStyle w:val="ListBullet"/>
            </w:pPr>
            <w:r w:rsidRPr="00D32435">
              <w:t>identifying job hazards and taking required actions to minimise, control or eliminate identified hazards including:</w:t>
            </w:r>
          </w:p>
          <w:p w:rsidR="00000000" w:rsidRPr="00D32435" w:rsidP="00D32435">
            <w:pPr>
              <w:pStyle w:val="ListBullet2"/>
            </w:pPr>
            <w:r w:rsidRPr="00D32435">
              <w:t>modifying activities depending on operational contingencies, risk situations and environments</w:t>
            </w:r>
          </w:p>
          <w:p w:rsidR="00000000" w:rsidRPr="00D32435" w:rsidP="00D32435">
            <w:pPr>
              <w:pStyle w:val="ListBullet"/>
            </w:pPr>
            <w:r w:rsidRPr="00D32435">
              <w:t>identifying who is responsible for authorising the movement of rolling stock</w:t>
            </w:r>
          </w:p>
          <w:p w:rsidR="00000000" w:rsidRPr="00D32435" w:rsidP="00D32435">
            <w:pPr>
              <w:pStyle w:val="ListBullet"/>
            </w:pPr>
            <w:r w:rsidRPr="00D32435">
              <w:t>interpreting and following instructions and prioritising work</w:t>
            </w:r>
          </w:p>
          <w:p w:rsidR="00000000" w:rsidRPr="00D32435" w:rsidP="00D32435">
            <w:pPr>
              <w:pStyle w:val="ListBullet"/>
            </w:pPr>
            <w:r w:rsidRPr="00D32435">
              <w:t>reading and interpreting relevant instructions, procedures, information and signs.</w:t>
            </w:r>
          </w:p>
        </w:tc>
      </w:tr>
    </w:tbl>
    <w:p w:rsidR="00CF145F" w:rsidP="00D32435">
      <w:pPr>
        <w:pStyle w:val="NoPaddingFontSize1"/>
      </w:pPr>
    </w:p>
    <w:p w:rsidR="00CF145F" w:rsidP="00D32435">
      <w:pPr>
        <w:pStyle w:val="NoPaddingFontSize1"/>
      </w:pPr>
    </w:p>
    <w:p w:rsidR="00000000" w:rsidRPr="00D32435" w:rsidP="00D32435">
      <w:pPr>
        <w:pStyle w:val="Heading1"/>
      </w:pPr>
      <w:bookmarkStart w:id="3" w:name="O_1195016"/>
      <w:bookmarkEnd w:id="3"/>
      <w:r w:rsidRPr="00D32435">
        <w:t>Knowledge Ev</w:t>
      </w:r>
      <w:r w:rsidRPr="00D32435">
        <w:t>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4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435">
            <w:pPr>
              <w:pStyle w:val="BodyText"/>
              <w:rPr>
                <w:lang w:val="en-NZ"/>
              </w:rPr>
            </w:pPr>
            <w:r w:rsidRPr="00D3243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324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435" w:rsidP="00D32435">
            <w:pPr>
              <w:pStyle w:val="ListBullet"/>
            </w:pPr>
            <w:r w:rsidRPr="00D32435">
              <w:t>documentation requirements when inspecting and preparing a motive power unit</w:t>
            </w:r>
          </w:p>
          <w:p w:rsidR="00000000" w:rsidRPr="00D32435" w:rsidP="00D32435">
            <w:pPr>
              <w:pStyle w:val="ListBullet"/>
            </w:pPr>
            <w:r w:rsidRPr="00D32435">
              <w:t>hazardous situations, risk control measures and workplace procedures when preparing and starting up a motive power unit</w:t>
            </w:r>
          </w:p>
          <w:p w:rsidR="00000000" w:rsidRPr="00D32435" w:rsidP="00D32435">
            <w:pPr>
              <w:pStyle w:val="ListBullet"/>
            </w:pPr>
            <w:r w:rsidRPr="00D32435">
              <w:t>procedures for conducting pre-movement checks prior to movi</w:t>
            </w:r>
            <w:r w:rsidRPr="00D32435">
              <w:t>ng a motive power unit</w:t>
            </w:r>
          </w:p>
          <w:p w:rsidR="00000000" w:rsidRPr="00D32435" w:rsidP="00D32435">
            <w:pPr>
              <w:pStyle w:val="ListBullet"/>
            </w:pPr>
            <w:r w:rsidRPr="00D32435">
              <w:t>relevant work health and safety (WHS)/occupational health and safety (OHS) and rail safety requirements</w:t>
            </w:r>
          </w:p>
          <w:p w:rsidR="00000000" w:rsidRPr="00D32435" w:rsidP="00D32435">
            <w:pPr>
              <w:pStyle w:val="ListBullet"/>
            </w:pPr>
            <w:r w:rsidRPr="00D32435">
              <w:t>start-up requirements and workplace procedures for motive power units.</w:t>
            </w:r>
          </w:p>
        </w:tc>
      </w:tr>
    </w:tbl>
    <w:p w:rsidR="00000000" w:rsidRPr="00D32435" w:rsidP="00D32435">
      <w:pPr>
        <w:pStyle w:val="NoPaddingFontSize1"/>
      </w:pPr>
    </w:p>
    <w:p w:rsidR="00000000" w:rsidRPr="00D32435" w:rsidP="00D32435">
      <w:pPr>
        <w:pStyle w:val="AllowPageBreak"/>
      </w:pPr>
    </w:p>
    <w:p w:rsidR="00000000" w:rsidRPr="00D32435" w:rsidP="00D32435">
      <w:pPr>
        <w:pStyle w:val="Heading1"/>
      </w:pPr>
      <w:bookmarkStart w:id="4" w:name="O_1195015"/>
      <w:bookmarkEnd w:id="4"/>
      <w:r w:rsidRPr="00D3243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4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435" w:rsidP="00D32435">
            <w:pPr>
              <w:pStyle w:val="BodyText"/>
            </w:pPr>
            <w:r w:rsidRPr="00D32435">
              <w:t xml:space="preserve">Assessors must hold credentials specified within the Standards for Registered Training Organisations current at the time of assessment. </w:t>
            </w:r>
          </w:p>
          <w:p w:rsidR="00000000" w:rsidRPr="00D32435" w:rsidP="00D32435">
            <w:pPr>
              <w:pStyle w:val="BodyText"/>
            </w:pPr>
            <w:r w:rsidRPr="00D32435">
              <w:t>Assessment must satisfy the Principles of Assessment and Rules of Evidence and all regulatory requirements included wit</w:t>
            </w:r>
            <w:r w:rsidRPr="00D32435">
              <w:t>hin the Standards for Registered Training Organisations current at the time of assessment.</w:t>
            </w:r>
          </w:p>
          <w:p w:rsidR="00000000" w:rsidRPr="00D32435" w:rsidP="00D32435">
            <w:pPr>
              <w:pStyle w:val="BodyText"/>
            </w:pPr>
            <w:r w:rsidRPr="00D32435">
              <w:t>Assessment must occur in workplace operational situations or, where this is not available, in simulated workplace operational situations that replicate rail corridor</w:t>
            </w:r>
            <w:r w:rsidRPr="00D32435">
              <w:t xml:space="preserve"> workplace conditions.</w:t>
            </w:r>
          </w:p>
          <w:p w:rsidR="00000000" w:rsidRPr="00D32435" w:rsidP="00D32435">
            <w:pPr>
              <w:pStyle w:val="BodyText"/>
            </w:pPr>
            <w:r w:rsidRPr="00D3243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32435" w:rsidP="00D32435">
            <w:pPr>
              <w:pStyle w:val="BodyText"/>
            </w:pPr>
            <w:r w:rsidRPr="00D32435">
              <w:t>Resources for assessment include access to:</w:t>
            </w:r>
          </w:p>
          <w:p w:rsidR="00000000" w:rsidRPr="00D32435" w:rsidP="00D32435">
            <w:pPr>
              <w:pStyle w:val="ListBullet"/>
            </w:pPr>
            <w:r w:rsidRPr="00D32435">
              <w:t xml:space="preserve">a range of relevant </w:t>
            </w:r>
            <w:r w:rsidRPr="00D32435">
              <w:t>exercises, case studies and/or simulations</w:t>
            </w:r>
          </w:p>
          <w:p w:rsidR="00000000" w:rsidRPr="00D32435" w:rsidP="00D32435">
            <w:pPr>
              <w:pStyle w:val="ListBullet"/>
            </w:pPr>
            <w:r w:rsidRPr="00D32435">
              <w:t>relevant and appropriate materials, tools, equipment and personal protective equipment (PPE) currently used in industry</w:t>
            </w:r>
          </w:p>
          <w:p w:rsidR="00000000" w:rsidRPr="00D32435" w:rsidP="00D32435">
            <w:pPr>
              <w:pStyle w:val="ListBullet"/>
            </w:pPr>
            <w:r w:rsidRPr="00D32435">
              <w:t>applicable documentation including workplace procedures, rules, codes of practice and operati</w:t>
            </w:r>
            <w:r w:rsidRPr="00D32435">
              <w:t>on manuals.</w:t>
            </w:r>
          </w:p>
        </w:tc>
      </w:tr>
    </w:tbl>
    <w:p w:rsidR="00CF145F" w:rsidP="00D32435">
      <w:pPr>
        <w:pStyle w:val="NoPaddingFontSize1"/>
      </w:pPr>
    </w:p>
    <w:p w:rsidR="00CF145F" w:rsidP="00D32435">
      <w:pPr>
        <w:pStyle w:val="NoPaddingFontSize1"/>
      </w:pPr>
    </w:p>
    <w:p w:rsidR="00000000" w:rsidRPr="00D32435" w:rsidP="00D32435">
      <w:pPr>
        <w:pStyle w:val="Heading1"/>
      </w:pPr>
      <w:bookmarkStart w:id="5" w:name="O_1195030"/>
      <w:bookmarkEnd w:id="5"/>
      <w:r w:rsidRPr="00D32435">
        <w:t>Links</w:t>
      </w:r>
    </w:p>
    <w:p w:rsidR="00000000" w:rsidRPr="00D32435" w:rsidP="00CF145F">
      <w:pPr>
        <w:pStyle w:val="BodyText"/>
      </w:pPr>
      <w:r w:rsidRPr="00D324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F2BA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32435" w:rsidP="00D32435"/>
    <w:sectPr w:rsidSect="00D324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4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435" w:rsidRPr="00CF145F" w:rsidP="00CF14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4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45F" w:rsidP="00D324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145F" w:rsidP="00D324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F145F" w:rsidP="00D324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4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4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2435" w:rsidRPr="00CF145F" w:rsidP="00CF14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4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45F" w:rsidRPr="002D2AF8" w:rsidP="00D324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TLIB0128 Conduct pre-movement checks on motive power units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F145F" w:rsidP="00D324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6818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C496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66B9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4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24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24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24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24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24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24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24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24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24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24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2435"/>
  </w:style>
  <w:style w:type="character" w:customStyle="1" w:styleId="Heading1Char">
    <w:name w:val="Heading 1 Char"/>
    <w:basedOn w:val="DefaultParagraphFont"/>
    <w:link w:val="Heading1"/>
    <w:rsid w:val="00D324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24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24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24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2435"/>
    <w:rPr>
      <w:b/>
      <w:spacing w:val="0"/>
    </w:rPr>
  </w:style>
  <w:style w:type="paragraph" w:styleId="ListBullet2">
    <w:name w:val="List Bullet 2"/>
    <w:basedOn w:val="List2"/>
    <w:rsid w:val="00D324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24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24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324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24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24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24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24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24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24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24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24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24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24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24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24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24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24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24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24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24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24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24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24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24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24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24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24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24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24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24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24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24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24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24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2435"/>
    <w:rPr>
      <w:i/>
    </w:rPr>
  </w:style>
  <w:style w:type="paragraph" w:styleId="Caption">
    <w:name w:val="caption"/>
    <w:basedOn w:val="BodyText"/>
    <w:next w:val="Normal"/>
    <w:qFormat/>
    <w:rsid w:val="00D324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24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24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2435"/>
  </w:style>
  <w:style w:type="paragraph" w:styleId="TableofFigures">
    <w:name w:val="table of figures"/>
    <w:basedOn w:val="Normal"/>
    <w:next w:val="Normal"/>
    <w:semiHidden/>
    <w:rsid w:val="00D324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24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2435"/>
    <w:rPr>
      <w:rFonts w:ascii="Wingdings" w:hAnsi="Wingdings"/>
    </w:rPr>
  </w:style>
  <w:style w:type="paragraph" w:customStyle="1" w:styleId="TableHeading">
    <w:name w:val="Table Heading"/>
    <w:basedOn w:val="HeadingBase"/>
    <w:rsid w:val="00D324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2435"/>
    <w:rPr>
      <w:color w:val="0033CC"/>
      <w:u w:val="none"/>
    </w:rPr>
  </w:style>
  <w:style w:type="paragraph" w:customStyle="1" w:styleId="BodyTextRight">
    <w:name w:val="Body Text Right"/>
    <w:basedOn w:val="BodyText"/>
    <w:rsid w:val="00D324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24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24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24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24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24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2435"/>
    <w:rPr>
      <w:sz w:val="32"/>
    </w:rPr>
  </w:style>
  <w:style w:type="paragraph" w:customStyle="1" w:styleId="HeadingProcedure">
    <w:name w:val="Heading Procedure"/>
    <w:basedOn w:val="HeadingBase"/>
    <w:next w:val="Normal"/>
    <w:rsid w:val="00D324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2435"/>
    <w:pPr>
      <w:spacing w:before="60" w:after="60"/>
    </w:pPr>
  </w:style>
  <w:style w:type="paragraph" w:styleId="ListContinue">
    <w:name w:val="List Continue"/>
    <w:basedOn w:val="List"/>
    <w:rsid w:val="00D32435"/>
    <w:pPr>
      <w:ind w:firstLine="0"/>
    </w:pPr>
  </w:style>
  <w:style w:type="paragraph" w:customStyle="1" w:styleId="ListNote">
    <w:name w:val="List Note"/>
    <w:basedOn w:val="List"/>
    <w:rsid w:val="00D324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24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24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2435"/>
    <w:rPr>
      <w:rFonts w:ascii="Courier New" w:hAnsi="Courier New"/>
    </w:rPr>
  </w:style>
  <w:style w:type="paragraph" w:customStyle="1" w:styleId="NoteBullet">
    <w:name w:val="Note Bullet"/>
    <w:basedOn w:val="Note"/>
    <w:rsid w:val="00D324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24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24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24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24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24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24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2435"/>
    <w:rPr>
      <w:b/>
      <w:smallCaps/>
    </w:rPr>
  </w:style>
  <w:style w:type="paragraph" w:customStyle="1" w:styleId="TableListNumber">
    <w:name w:val="Table List Number"/>
    <w:basedOn w:val="ListNumber"/>
    <w:rsid w:val="00D324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24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2435"/>
    <w:pPr>
      <w:numPr>
        <w:numId w:val="9"/>
      </w:numPr>
    </w:pPr>
  </w:style>
  <w:style w:type="paragraph" w:customStyle="1" w:styleId="ListAlpha2">
    <w:name w:val="List Alpha 2"/>
    <w:basedOn w:val="List2"/>
    <w:rsid w:val="00D32435"/>
    <w:pPr>
      <w:numPr>
        <w:numId w:val="8"/>
      </w:numPr>
    </w:pPr>
  </w:style>
  <w:style w:type="paragraph" w:styleId="List2">
    <w:name w:val="List 2"/>
    <w:basedOn w:val="BodyText"/>
    <w:rsid w:val="00D324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24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24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24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24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24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2435"/>
    <w:pPr>
      <w:numPr>
        <w:numId w:val="4"/>
      </w:numPr>
    </w:pPr>
  </w:style>
  <w:style w:type="paragraph" w:styleId="ListContinue2">
    <w:name w:val="List Continue 2"/>
    <w:basedOn w:val="List2"/>
    <w:rsid w:val="00D32435"/>
    <w:pPr>
      <w:ind w:firstLine="0"/>
    </w:pPr>
  </w:style>
  <w:style w:type="paragraph" w:styleId="ListContinue3">
    <w:name w:val="List Continue 3"/>
    <w:basedOn w:val="List3"/>
    <w:rsid w:val="00D32435"/>
    <w:pPr>
      <w:ind w:left="1021" w:firstLine="0"/>
    </w:pPr>
  </w:style>
  <w:style w:type="paragraph" w:styleId="ListContinue4">
    <w:name w:val="List Continue 4"/>
    <w:basedOn w:val="List4"/>
    <w:rsid w:val="00D32435"/>
    <w:pPr>
      <w:ind w:firstLine="0"/>
    </w:pPr>
  </w:style>
  <w:style w:type="paragraph" w:styleId="ListContinue5">
    <w:name w:val="List Continue 5"/>
    <w:basedOn w:val="List5"/>
    <w:rsid w:val="00D32435"/>
    <w:pPr>
      <w:ind w:firstLine="0"/>
    </w:pPr>
  </w:style>
  <w:style w:type="paragraph" w:styleId="ListNumber3">
    <w:name w:val="List Number 3"/>
    <w:basedOn w:val="List3"/>
    <w:rsid w:val="00D32435"/>
    <w:pPr>
      <w:numPr>
        <w:numId w:val="5"/>
      </w:numPr>
    </w:pPr>
  </w:style>
  <w:style w:type="paragraph" w:styleId="ListNumber4">
    <w:name w:val="List Number 4"/>
    <w:basedOn w:val="List4"/>
    <w:rsid w:val="00D32435"/>
    <w:pPr>
      <w:numPr>
        <w:numId w:val="6"/>
      </w:numPr>
    </w:pPr>
  </w:style>
  <w:style w:type="paragraph" w:styleId="ListNumber5">
    <w:name w:val="List Number 5"/>
    <w:basedOn w:val="List5"/>
    <w:rsid w:val="00D32435"/>
    <w:pPr>
      <w:numPr>
        <w:numId w:val="7"/>
      </w:numPr>
    </w:pPr>
  </w:style>
  <w:style w:type="paragraph" w:styleId="BlockText">
    <w:name w:val="Block Text"/>
    <w:basedOn w:val="Normal"/>
    <w:rsid w:val="00D324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24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2435"/>
    <w:rPr>
      <w:sz w:val="16"/>
      <w:vertAlign w:val="superscript"/>
    </w:rPr>
  </w:style>
  <w:style w:type="character" w:customStyle="1" w:styleId="Symbols">
    <w:name w:val="Symbols"/>
    <w:basedOn w:val="DefaultParagraphFont"/>
    <w:rsid w:val="00D32435"/>
    <w:rPr>
      <w:rFonts w:ascii="Symbol" w:hAnsi="Symbol"/>
    </w:rPr>
  </w:style>
  <w:style w:type="character" w:customStyle="1" w:styleId="MenuOptions">
    <w:name w:val="Menu Options"/>
    <w:basedOn w:val="DefaultParagraphFont"/>
    <w:rsid w:val="00D324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2435"/>
    <w:rPr>
      <w:b/>
    </w:rPr>
  </w:style>
  <w:style w:type="character" w:customStyle="1" w:styleId="Underlined">
    <w:name w:val="Underlined"/>
    <w:basedOn w:val="DefaultParagraphFont"/>
    <w:rsid w:val="00D32435"/>
    <w:rPr>
      <w:u w:val="single"/>
    </w:rPr>
  </w:style>
  <w:style w:type="paragraph" w:customStyle="1" w:styleId="TableBodyTextRight">
    <w:name w:val="Table Body Text Right"/>
    <w:basedOn w:val="TableBodyText"/>
    <w:rsid w:val="00D324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2435"/>
    <w:rPr>
      <w:sz w:val="18"/>
    </w:rPr>
  </w:style>
  <w:style w:type="paragraph" w:customStyle="1" w:styleId="BodySmallRight">
    <w:name w:val="Body Small Right"/>
    <w:basedOn w:val="BodyTextRight"/>
    <w:rsid w:val="00D32435"/>
    <w:rPr>
      <w:sz w:val="18"/>
      <w:szCs w:val="18"/>
    </w:rPr>
  </w:style>
  <w:style w:type="paragraph" w:customStyle="1" w:styleId="MarginEdition">
    <w:name w:val="Margin Edition"/>
    <w:basedOn w:val="MarginNote"/>
    <w:rsid w:val="00D324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2435"/>
    <w:rPr>
      <w:sz w:val="2"/>
      <w:szCs w:val="2"/>
    </w:rPr>
  </w:style>
  <w:style w:type="character" w:customStyle="1" w:styleId="Small">
    <w:name w:val="Small"/>
    <w:basedOn w:val="DefaultParagraphFont"/>
    <w:rsid w:val="00D32435"/>
    <w:rPr>
      <w:sz w:val="16"/>
    </w:rPr>
  </w:style>
  <w:style w:type="paragraph" w:customStyle="1" w:styleId="WideTable">
    <w:name w:val="Wide Table"/>
    <w:basedOn w:val="Normal"/>
    <w:rsid w:val="00D324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2435"/>
  </w:style>
  <w:style w:type="paragraph" w:styleId="Quote">
    <w:name w:val="Quote"/>
    <w:basedOn w:val="Heading1"/>
    <w:link w:val="QuoteChar"/>
    <w:qFormat/>
    <w:rsid w:val="00D324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24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2435"/>
    <w:pPr>
      <w:pageBreakBefore/>
    </w:pPr>
  </w:style>
  <w:style w:type="paragraph" w:customStyle="1" w:styleId="Border">
    <w:name w:val="Border"/>
    <w:basedOn w:val="Normal"/>
    <w:qFormat/>
    <w:rsid w:val="00D324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24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4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4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24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24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24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24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24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2435"/>
    <w:rPr>
      <w:u w:val="single"/>
    </w:rPr>
  </w:style>
  <w:style w:type="character" w:customStyle="1" w:styleId="BoldandItalics">
    <w:name w:val="Bold and Italics"/>
    <w:qFormat/>
    <w:rsid w:val="00D32435"/>
    <w:rPr>
      <w:b/>
      <w:i/>
      <w:u w:val="none"/>
    </w:rPr>
  </w:style>
  <w:style w:type="paragraph" w:styleId="BalloonText">
    <w:name w:val="Balloon Text"/>
    <w:basedOn w:val="Normal"/>
    <w:link w:val="BalloonTextChar"/>
    <w:rsid w:val="00D324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24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24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24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24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24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2435"/>
    <w:pPr>
      <w:spacing w:before="0" w:after="0"/>
    </w:pPr>
  </w:style>
  <w:style w:type="paragraph" w:customStyle="1" w:styleId="BodyTextBold">
    <w:name w:val="Body Text Bold"/>
    <w:basedOn w:val="BodyText"/>
    <w:qFormat/>
    <w:rsid w:val="00D32435"/>
    <w:rPr>
      <w:b/>
    </w:rPr>
  </w:style>
  <w:style w:type="character" w:styleId="Hyperlink">
    <w:name w:val="Hyperlink"/>
    <w:basedOn w:val="DefaultParagraphFont"/>
    <w:uiPriority w:val="99"/>
    <w:unhideWhenUsed/>
    <w:rsid w:val="00CF14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469</Words>
  <Characters>3080</Characters>
  <Application>Microsoft Office Word</Application>
  <DocSecurity>0</DocSecurity>
  <Lines>71</Lines>
  <Paragraphs>45</Paragraphs>
  <ScaleCrop>false</ScaleCrop>
  <Company>Author-it Software Corporation Ltd.</Company>
  <LinksUpToDate>false</LinksUpToDate>
  <CharactersWithSpaces>3504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TLIB0128 Conduct pre-movement checks on motive power units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2024-07-12T07:44:00Z</dcterms:created>
  <dcterms:modified xsi:type="dcterms:W3CDTF">2024-07-12T07:44:00Z</dcterms:modified>
</cp:coreProperties>
</file>