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614" w:rsidP="00EF6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TLIB0127 Certify rolling stock prior to handover</w:t>
      </w:r>
      <w:r>
        <w:fldChar w:fldCharType="end"/>
      </w:r>
    </w:p>
    <w:p w:rsidR="00EF6614" w:rsidP="00EF6614">
      <w:pPr>
        <w:pStyle w:val="Version"/>
        <w:sectPr w:rsidSect="00084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D8A" w:rsidP="00084D8A">
      <w:pPr>
        <w:pStyle w:val="SuperHeading"/>
      </w:pPr>
      <w:r w:rsidRPr="00084D8A">
        <w:t>TLIB0127 Certify rolling stock prior to handover</w:t>
      </w:r>
    </w:p>
    <w:p w:rsidR="00000000" w:rsidRPr="00084D8A" w:rsidP="00084D8A">
      <w:pPr>
        <w:pStyle w:val="Heading1"/>
      </w:pPr>
      <w:bookmarkStart w:id="1" w:name="O_755475"/>
      <w:bookmarkEnd w:id="1"/>
      <w:r w:rsidRPr="00084D8A">
        <w:t>Modification History</w:t>
      </w:r>
    </w:p>
    <w:p w:rsidR="00EF6614" w:rsidP="00EF6614">
      <w:pPr>
        <w:pStyle w:val="BodyText"/>
      </w:pPr>
      <w:r w:rsidRPr="00084D8A">
        <w:t>Release 1. This is the first release of this unit of competency in the TLI Transport and Logistics Training Package.</w:t>
      </w:r>
    </w:p>
    <w:p w:rsidR="00000000" w:rsidRPr="00084D8A" w:rsidP="00084D8A">
      <w:pPr>
        <w:pStyle w:val="Heading1"/>
      </w:pPr>
      <w:bookmarkStart w:id="2" w:name="O_755476"/>
      <w:bookmarkEnd w:id="2"/>
      <w:r w:rsidRPr="00084D8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8A" w:rsidP="00084D8A">
            <w:pPr>
              <w:pStyle w:val="BodyText"/>
            </w:pPr>
            <w:r w:rsidRPr="00084D8A">
              <w:t>This unit involves the skills and knowledge required to certify rolling stock as</w:t>
            </w:r>
            <w:r w:rsidRPr="00084D8A">
              <w:t xml:space="preserve"> fit for purpose in accordance with relevant organisational procedures, rail industry standards, rules, regulations and codes of practice.</w:t>
            </w:r>
          </w:p>
          <w:p w:rsidR="00000000" w:rsidRPr="00084D8A" w:rsidP="00084D8A">
            <w:pPr>
              <w:pStyle w:val="BodyText"/>
            </w:pPr>
            <w:r w:rsidRPr="00084D8A">
              <w:t>It includes completing certification and documentation in accordance with organisational or client requirements.</w:t>
            </w:r>
          </w:p>
          <w:p w:rsidR="00000000" w:rsidRPr="00084D8A" w:rsidP="00084D8A">
            <w:pPr>
              <w:pStyle w:val="BodyText"/>
            </w:pPr>
            <w:r w:rsidRPr="00084D8A">
              <w:t>This</w:t>
            </w:r>
            <w:r w:rsidRPr="00084D8A">
              <w:t xml:space="preserve"> unit applies to workers required to carry out these activities as part of a maintenance role within a defined location on behalf of their own or a client’s organisation.</w:t>
            </w:r>
          </w:p>
          <w:p w:rsidR="00000000" w:rsidRPr="00084D8A" w:rsidP="00084D8A">
            <w:pPr>
              <w:pStyle w:val="BodyText"/>
            </w:pPr>
            <w:r w:rsidRPr="00084D8A">
              <w:t>No licensing, legislative or certification requirements apply to this unit at the tim</w:t>
            </w:r>
            <w:r w:rsidRPr="00084D8A">
              <w:t>e of publication.</w:t>
            </w:r>
          </w:p>
        </w:tc>
      </w:tr>
    </w:tbl>
    <w:p w:rsidR="00EF6614" w:rsidP="00084D8A">
      <w:pPr>
        <w:pStyle w:val="BodyText"/>
      </w:pPr>
    </w:p>
    <w:p w:rsidR="00EF6614" w:rsidP="00084D8A">
      <w:pPr>
        <w:pStyle w:val="BodyText"/>
      </w:pPr>
    </w:p>
    <w:p w:rsidR="00000000" w:rsidRPr="00084D8A" w:rsidP="00084D8A">
      <w:pPr>
        <w:pStyle w:val="Heading1"/>
      </w:pPr>
      <w:bookmarkStart w:id="3" w:name="O_755477"/>
      <w:bookmarkEnd w:id="3"/>
      <w:r w:rsidRPr="00084D8A">
        <w:t>Pre-requisite Unit</w:t>
      </w:r>
    </w:p>
    <w:p w:rsidR="00000000" w:rsidRPr="00084D8A" w:rsidP="00EF6614">
      <w:pPr>
        <w:pStyle w:val="BodyText"/>
      </w:pPr>
      <w:r w:rsidRPr="00084D8A">
        <w:t>Not applicable.</w:t>
      </w:r>
    </w:p>
    <w:p w:rsidR="00000000" w:rsidRPr="00084D8A" w:rsidP="00084D8A">
      <w:pPr>
        <w:pStyle w:val="Heading1"/>
      </w:pPr>
      <w:bookmarkStart w:id="4" w:name="O_755478"/>
      <w:bookmarkEnd w:id="4"/>
      <w:r w:rsidRPr="00084D8A">
        <w:t>Competency Field</w:t>
      </w:r>
    </w:p>
    <w:p w:rsidR="00000000" w:rsidRPr="00084D8A" w:rsidP="00EF6614">
      <w:pPr>
        <w:pStyle w:val="BodyText"/>
      </w:pPr>
      <w:r w:rsidRPr="00084D8A">
        <w:t>B – Equipment Checking and Maintenance</w:t>
      </w:r>
    </w:p>
    <w:p w:rsidR="00000000" w:rsidRPr="00084D8A" w:rsidP="00084D8A">
      <w:pPr>
        <w:pStyle w:val="Heading1"/>
      </w:pPr>
      <w:bookmarkStart w:id="5" w:name="O_755479"/>
      <w:bookmarkEnd w:id="5"/>
      <w:r w:rsidRPr="00084D8A">
        <w:t>Unit Sector</w:t>
      </w:r>
    </w:p>
    <w:p w:rsidR="00000000" w:rsidRPr="00084D8A" w:rsidP="00EF6614">
      <w:pPr>
        <w:pStyle w:val="BodyText"/>
      </w:pPr>
      <w:r w:rsidRPr="00084D8A">
        <w:t>Not applicable.</w:t>
      </w:r>
    </w:p>
    <w:p w:rsidR="00000000" w:rsidRPr="00084D8A" w:rsidP="00084D8A">
      <w:pPr>
        <w:pStyle w:val="Heading1"/>
      </w:pPr>
      <w:bookmarkStart w:id="6" w:name="O_755480"/>
      <w:bookmarkEnd w:id="6"/>
      <w:r w:rsidRPr="00084D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8A" w:rsidP="00084D8A">
            <w:pPr>
              <w:pStyle w:val="BodyText"/>
            </w:pPr>
            <w:r w:rsidRPr="00084D8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rPr>
                <w:rStyle w:val="SpecialBold"/>
              </w:rPr>
              <w:t>PERFORMANCE CRITERIA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Performance criteria describe the performance needed to demonstrate achievement of the element.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8A" w:rsidP="00084D8A">
            <w:pPr>
              <w:pStyle w:val="BodyText"/>
            </w:pPr>
            <w:r w:rsidRPr="00084D8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rPr>
                <w:rStyle w:val="SpecialBold"/>
              </w:rPr>
              <w:t xml:space="preserve">Complete certification </w:t>
            </w:r>
            <w:r w:rsidRPr="00084D8A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 xml:space="preserve">Certification requirements for particular rolling </w:t>
            </w:r>
            <w:r w:rsidRPr="00084D8A">
              <w:t>stock are confirmed by reference to applicable specifications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Planned activities are identified in accordance with organisational procedures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Hazards are identified, risks are assessed and control measures are implemented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Completed maintenance activities are verified against planned activities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Completed maintenance activities are validated as required in accordance with organisational procedures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Where maintenance activities are not completed an assessment is carried out to confirm rolling stock is fit for purpose in accordance with organisational procedures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Completed maintenance activities are confirmed against operational performance requi</w:t>
            </w:r>
            <w:r w:rsidRPr="00084D8A">
              <w:t>rements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Certificate is issued in accordance with organisational procedures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8A" w:rsidP="00084D8A">
            <w:pPr>
              <w:pStyle w:val="BodyText"/>
            </w:pPr>
            <w:r w:rsidRPr="00084D8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Required documentation procedures and processes are confirmed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Documentation is filled in legibly and proofread, in accordance with organisational procedures and regulatory requirements</w:t>
            </w:r>
          </w:p>
        </w:tc>
      </w:tr>
      <w:tr w:rsidTr="00EF6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8A">
            <w:pPr>
              <w:pStyle w:val="BodyText"/>
              <w:rPr>
                <w:lang w:val="en-NZ"/>
              </w:rPr>
            </w:pPr>
            <w:r w:rsidRPr="00084D8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8A" w:rsidP="00084D8A">
            <w:pPr>
              <w:pStyle w:val="BodyText"/>
            </w:pPr>
            <w:r w:rsidRPr="00084D8A">
              <w:t>Required documentation is archived in accordance with organisational procedures and regulatory requirements</w:t>
            </w:r>
          </w:p>
        </w:tc>
      </w:tr>
    </w:tbl>
    <w:p w:rsidR="00EF6614" w:rsidP="00084D8A">
      <w:pPr>
        <w:pStyle w:val="BodyText"/>
      </w:pPr>
    </w:p>
    <w:p w:rsidR="00EF6614" w:rsidP="00084D8A">
      <w:pPr>
        <w:pStyle w:val="BodyText"/>
      </w:pPr>
    </w:p>
    <w:p w:rsidR="00000000" w:rsidRPr="00084D8A" w:rsidP="00084D8A">
      <w:pPr>
        <w:pStyle w:val="Heading1"/>
      </w:pPr>
      <w:bookmarkStart w:id="7" w:name="O_755481"/>
      <w:bookmarkEnd w:id="7"/>
      <w:r w:rsidRPr="00084D8A">
        <w:t>Foundation Skills</w:t>
      </w:r>
    </w:p>
    <w:p w:rsidR="00EF6614" w:rsidP="00EF6614">
      <w:pPr>
        <w:pStyle w:val="BodyText"/>
      </w:pPr>
      <w:r w:rsidRPr="00084D8A">
        <w:t>Foundation skills essential to performance are explicit in the performance criteria of this unit of competency.</w:t>
      </w:r>
    </w:p>
    <w:p w:rsidR="00000000" w:rsidRPr="00084D8A" w:rsidP="00084D8A">
      <w:pPr>
        <w:pStyle w:val="Heading1"/>
      </w:pPr>
      <w:bookmarkStart w:id="8" w:name="O_755482"/>
      <w:bookmarkEnd w:id="8"/>
      <w:r w:rsidRPr="00084D8A">
        <w:t>Range of Conditions</w:t>
      </w:r>
    </w:p>
    <w:p w:rsidR="00000000" w:rsidRPr="00084D8A" w:rsidP="00EF6614">
      <w:pPr>
        <w:pStyle w:val="BodyText"/>
      </w:pPr>
      <w:r w:rsidRPr="00084D8A">
        <w:t>Range is restricted to essential operating conditions and any other variables es</w:t>
      </w:r>
      <w:r w:rsidRPr="00084D8A">
        <w:t>sential to the work environment.</w:t>
      </w:r>
    </w:p>
    <w:p w:rsidR="00EF6614" w:rsidP="00EF6614">
      <w:pPr>
        <w:pStyle w:val="BodyText"/>
      </w:pPr>
      <w:r w:rsidRPr="00084D8A">
        <w:t>Non-essential conditions can be found in the Companion Volume Implementation Guide.</w:t>
      </w:r>
    </w:p>
    <w:p w:rsidR="00000000" w:rsidRPr="00084D8A" w:rsidP="00084D8A">
      <w:pPr>
        <w:pStyle w:val="Heading1"/>
      </w:pPr>
      <w:bookmarkStart w:id="9" w:name="O_755483"/>
      <w:bookmarkEnd w:id="9"/>
      <w:r w:rsidRPr="00084D8A">
        <w:t>Unit Mapping Information</w:t>
      </w:r>
    </w:p>
    <w:p w:rsidR="00EF6614" w:rsidP="00EF6614">
      <w:pPr>
        <w:pStyle w:val="BodyText"/>
      </w:pPr>
      <w:r w:rsidRPr="00084D8A">
        <w:t>This unit replaces and is equivalent to TLIB0127A Certify rolling stock prior to handover.</w:t>
      </w:r>
    </w:p>
    <w:p w:rsidR="00000000" w:rsidRPr="00084D8A" w:rsidP="00084D8A">
      <w:pPr>
        <w:pStyle w:val="Heading1"/>
      </w:pPr>
      <w:bookmarkStart w:id="10" w:name="O_755490"/>
      <w:bookmarkEnd w:id="10"/>
      <w:r w:rsidRPr="00084D8A">
        <w:t>Links</w:t>
      </w:r>
    </w:p>
    <w:p w:rsidR="00000000" w:rsidRPr="00084D8A" w:rsidP="00EF6614">
      <w:pPr>
        <w:pStyle w:val="BodyText"/>
      </w:pPr>
      <w:r w:rsidRPr="00084D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F00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4D8A" w:rsidP="00084D8A"/>
    <w:sectPr w:rsidSect="00084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8A" w:rsidRPr="00EF6614" w:rsidP="00EF6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14" w:rsidP="00084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614" w:rsidP="00084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F6614" w:rsidP="00084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D8A" w:rsidRPr="00EF6614" w:rsidP="00EF6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14" w:rsidRPr="002D2AF8" w:rsidP="00084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TLIB0127 Certify rolling stock prior to handover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F6614" w:rsidP="00084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D8A"/>
  </w:style>
  <w:style w:type="character" w:customStyle="1" w:styleId="Heading1Char">
    <w:name w:val="Heading 1 Char"/>
    <w:basedOn w:val="DefaultParagraphFont"/>
    <w:link w:val="Heading1"/>
    <w:rsid w:val="00084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D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4D8A"/>
    <w:rPr>
      <w:b/>
      <w:spacing w:val="0"/>
    </w:rPr>
  </w:style>
  <w:style w:type="paragraph" w:customStyle="1" w:styleId="SuperHeading">
    <w:name w:val="SuperHeading"/>
    <w:basedOn w:val="Normal"/>
    <w:rsid w:val="00084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D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4D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4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D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D8A"/>
    <w:rPr>
      <w:i/>
    </w:rPr>
  </w:style>
  <w:style w:type="paragraph" w:styleId="Caption">
    <w:name w:val="caption"/>
    <w:basedOn w:val="BodyText"/>
    <w:next w:val="Normal"/>
    <w:qFormat/>
    <w:rsid w:val="00084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D8A"/>
  </w:style>
  <w:style w:type="paragraph" w:styleId="TableofFigures">
    <w:name w:val="table of figures"/>
    <w:basedOn w:val="Normal"/>
    <w:next w:val="Normal"/>
    <w:semiHidden/>
    <w:rsid w:val="00084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D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4D8A"/>
    <w:rPr>
      <w:rFonts w:ascii="Wingdings" w:hAnsi="Wingdings"/>
    </w:rPr>
  </w:style>
  <w:style w:type="paragraph" w:customStyle="1" w:styleId="TableHeading">
    <w:name w:val="Table Heading"/>
    <w:basedOn w:val="HeadingBase"/>
    <w:rsid w:val="00084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D8A"/>
    <w:rPr>
      <w:color w:val="0033CC"/>
      <w:u w:val="none"/>
    </w:rPr>
  </w:style>
  <w:style w:type="paragraph" w:customStyle="1" w:styleId="BodyTextRight">
    <w:name w:val="Body Text Right"/>
    <w:basedOn w:val="BodyText"/>
    <w:rsid w:val="00084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D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D8A"/>
    <w:rPr>
      <w:sz w:val="32"/>
    </w:rPr>
  </w:style>
  <w:style w:type="paragraph" w:customStyle="1" w:styleId="HeadingProcedure">
    <w:name w:val="Heading Procedure"/>
    <w:basedOn w:val="HeadingBase"/>
    <w:next w:val="Normal"/>
    <w:rsid w:val="00084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D8A"/>
    <w:pPr>
      <w:spacing w:before="60" w:after="60"/>
    </w:pPr>
  </w:style>
  <w:style w:type="paragraph" w:styleId="ListContinue">
    <w:name w:val="List Continue"/>
    <w:basedOn w:val="List"/>
    <w:rsid w:val="00084D8A"/>
    <w:pPr>
      <w:ind w:firstLine="0"/>
    </w:pPr>
  </w:style>
  <w:style w:type="paragraph" w:customStyle="1" w:styleId="ListNote">
    <w:name w:val="List Note"/>
    <w:basedOn w:val="List"/>
    <w:rsid w:val="00084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D8A"/>
    <w:rPr>
      <w:rFonts w:ascii="Courier New" w:hAnsi="Courier New"/>
    </w:rPr>
  </w:style>
  <w:style w:type="paragraph" w:customStyle="1" w:styleId="NoteBullet">
    <w:name w:val="Note Bullet"/>
    <w:basedOn w:val="Note"/>
    <w:rsid w:val="00084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D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4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D8A"/>
    <w:rPr>
      <w:b/>
      <w:smallCaps/>
    </w:rPr>
  </w:style>
  <w:style w:type="paragraph" w:customStyle="1" w:styleId="TableListNumber">
    <w:name w:val="Table List Number"/>
    <w:basedOn w:val="ListNumber"/>
    <w:rsid w:val="00084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D8A"/>
    <w:pPr>
      <w:numPr>
        <w:numId w:val="7"/>
      </w:numPr>
    </w:pPr>
  </w:style>
  <w:style w:type="paragraph" w:customStyle="1" w:styleId="ListAlpha2">
    <w:name w:val="List Alpha 2"/>
    <w:basedOn w:val="List2"/>
    <w:rsid w:val="00084D8A"/>
    <w:pPr>
      <w:numPr>
        <w:numId w:val="6"/>
      </w:numPr>
    </w:pPr>
  </w:style>
  <w:style w:type="paragraph" w:styleId="List2">
    <w:name w:val="List 2"/>
    <w:basedOn w:val="BodyText"/>
    <w:rsid w:val="00084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D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D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4D8A"/>
    <w:pPr>
      <w:numPr>
        <w:numId w:val="2"/>
      </w:numPr>
    </w:pPr>
  </w:style>
  <w:style w:type="paragraph" w:styleId="ListContinue2">
    <w:name w:val="List Continue 2"/>
    <w:basedOn w:val="List2"/>
    <w:rsid w:val="00084D8A"/>
    <w:pPr>
      <w:ind w:firstLine="0"/>
    </w:pPr>
  </w:style>
  <w:style w:type="paragraph" w:styleId="ListContinue3">
    <w:name w:val="List Continue 3"/>
    <w:basedOn w:val="List3"/>
    <w:rsid w:val="00084D8A"/>
    <w:pPr>
      <w:ind w:left="1021" w:firstLine="0"/>
    </w:pPr>
  </w:style>
  <w:style w:type="paragraph" w:styleId="ListContinue4">
    <w:name w:val="List Continue 4"/>
    <w:basedOn w:val="List4"/>
    <w:rsid w:val="00084D8A"/>
    <w:pPr>
      <w:ind w:firstLine="0"/>
    </w:pPr>
  </w:style>
  <w:style w:type="paragraph" w:styleId="ListContinue5">
    <w:name w:val="List Continue 5"/>
    <w:basedOn w:val="List5"/>
    <w:rsid w:val="00084D8A"/>
    <w:pPr>
      <w:ind w:firstLine="0"/>
    </w:pPr>
  </w:style>
  <w:style w:type="paragraph" w:styleId="ListNumber3">
    <w:name w:val="List Number 3"/>
    <w:basedOn w:val="List3"/>
    <w:rsid w:val="00084D8A"/>
    <w:pPr>
      <w:numPr>
        <w:numId w:val="3"/>
      </w:numPr>
    </w:pPr>
  </w:style>
  <w:style w:type="paragraph" w:styleId="ListNumber4">
    <w:name w:val="List Number 4"/>
    <w:basedOn w:val="List4"/>
    <w:rsid w:val="00084D8A"/>
    <w:pPr>
      <w:numPr>
        <w:numId w:val="4"/>
      </w:numPr>
    </w:pPr>
  </w:style>
  <w:style w:type="paragraph" w:styleId="ListNumber5">
    <w:name w:val="List Number 5"/>
    <w:basedOn w:val="List5"/>
    <w:rsid w:val="00084D8A"/>
    <w:pPr>
      <w:numPr>
        <w:numId w:val="5"/>
      </w:numPr>
    </w:pPr>
  </w:style>
  <w:style w:type="paragraph" w:styleId="BlockText">
    <w:name w:val="Block Text"/>
    <w:basedOn w:val="Normal"/>
    <w:rsid w:val="00084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D8A"/>
    <w:rPr>
      <w:sz w:val="16"/>
      <w:vertAlign w:val="superscript"/>
    </w:rPr>
  </w:style>
  <w:style w:type="character" w:customStyle="1" w:styleId="Symbols">
    <w:name w:val="Symbols"/>
    <w:basedOn w:val="DefaultParagraphFont"/>
    <w:rsid w:val="00084D8A"/>
    <w:rPr>
      <w:rFonts w:ascii="Symbol" w:hAnsi="Symbol"/>
    </w:rPr>
  </w:style>
  <w:style w:type="character" w:customStyle="1" w:styleId="MenuOptions">
    <w:name w:val="Menu Options"/>
    <w:basedOn w:val="DefaultParagraphFont"/>
    <w:rsid w:val="00084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D8A"/>
    <w:rPr>
      <w:b/>
    </w:rPr>
  </w:style>
  <w:style w:type="character" w:customStyle="1" w:styleId="Underlined">
    <w:name w:val="Underlined"/>
    <w:basedOn w:val="DefaultParagraphFont"/>
    <w:rsid w:val="00084D8A"/>
    <w:rPr>
      <w:u w:val="single"/>
    </w:rPr>
  </w:style>
  <w:style w:type="paragraph" w:customStyle="1" w:styleId="TableBodyTextRight">
    <w:name w:val="Table Body Text Right"/>
    <w:basedOn w:val="TableBodyText"/>
    <w:rsid w:val="00084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D8A"/>
    <w:rPr>
      <w:sz w:val="18"/>
    </w:rPr>
  </w:style>
  <w:style w:type="paragraph" w:customStyle="1" w:styleId="BodySmallRight">
    <w:name w:val="Body Small Right"/>
    <w:basedOn w:val="BodyTextRight"/>
    <w:rsid w:val="00084D8A"/>
    <w:rPr>
      <w:sz w:val="18"/>
      <w:szCs w:val="18"/>
    </w:rPr>
  </w:style>
  <w:style w:type="paragraph" w:customStyle="1" w:styleId="MarginEdition">
    <w:name w:val="Margin Edition"/>
    <w:basedOn w:val="MarginNote"/>
    <w:rsid w:val="00084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D8A"/>
    <w:rPr>
      <w:sz w:val="2"/>
      <w:szCs w:val="2"/>
    </w:rPr>
  </w:style>
  <w:style w:type="character" w:customStyle="1" w:styleId="Small">
    <w:name w:val="Small"/>
    <w:basedOn w:val="DefaultParagraphFont"/>
    <w:rsid w:val="00084D8A"/>
    <w:rPr>
      <w:sz w:val="16"/>
    </w:rPr>
  </w:style>
  <w:style w:type="paragraph" w:customStyle="1" w:styleId="WideTable">
    <w:name w:val="Wide Table"/>
    <w:basedOn w:val="Normal"/>
    <w:rsid w:val="00084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D8A"/>
  </w:style>
  <w:style w:type="paragraph" w:styleId="Quote">
    <w:name w:val="Quote"/>
    <w:basedOn w:val="Heading1"/>
    <w:link w:val="QuoteChar"/>
    <w:qFormat/>
    <w:rsid w:val="00084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D8A"/>
    <w:pPr>
      <w:pageBreakBefore/>
    </w:pPr>
  </w:style>
  <w:style w:type="paragraph" w:customStyle="1" w:styleId="Border">
    <w:name w:val="Border"/>
    <w:basedOn w:val="Normal"/>
    <w:qFormat/>
    <w:rsid w:val="00084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D8A"/>
    <w:rPr>
      <w:u w:val="single"/>
    </w:rPr>
  </w:style>
  <w:style w:type="character" w:customStyle="1" w:styleId="BoldandItalics">
    <w:name w:val="Bold and Italics"/>
    <w:qFormat/>
    <w:rsid w:val="00084D8A"/>
    <w:rPr>
      <w:b/>
      <w:i/>
      <w:u w:val="none"/>
    </w:rPr>
  </w:style>
  <w:style w:type="paragraph" w:styleId="BalloonText">
    <w:name w:val="Balloon Text"/>
    <w:basedOn w:val="Normal"/>
    <w:link w:val="BalloonTextChar"/>
    <w:rsid w:val="00084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D8A"/>
    <w:pPr>
      <w:spacing w:before="0" w:after="0"/>
    </w:pPr>
  </w:style>
  <w:style w:type="paragraph" w:customStyle="1" w:styleId="BodyTextBold">
    <w:name w:val="Body Text Bold"/>
    <w:basedOn w:val="BodyText"/>
    <w:qFormat/>
    <w:rsid w:val="00084D8A"/>
    <w:rPr>
      <w:b/>
    </w:rPr>
  </w:style>
  <w:style w:type="character" w:styleId="Hyperlink">
    <w:name w:val="Hyperlink"/>
    <w:basedOn w:val="DefaultParagraphFont"/>
    <w:uiPriority w:val="99"/>
    <w:unhideWhenUsed/>
    <w:rsid w:val="00EF6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2768</Characters>
  <Application>Microsoft Office Word</Application>
  <DocSecurity>0</DocSecurity>
  <Lines>115</Lines>
  <Paragraphs>67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TLIB0127 Certify rolling stock prior to handover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