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FD8" w:rsidP="00513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TLIB0127 Certify rolling stock prior to handover</w:t>
      </w:r>
      <w:r>
        <w:fldChar w:fldCharType="end"/>
      </w:r>
    </w:p>
    <w:p w:rsidR="00513FD8" w:rsidP="00513FD8">
      <w:pPr>
        <w:pStyle w:val="Version"/>
        <w:sectPr w:rsidSect="00FC58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882" w:rsidP="00FC5882">
      <w:pPr>
        <w:pStyle w:val="SuperHeading"/>
      </w:pPr>
      <w:r w:rsidRPr="00FC5882">
        <w:t>TLIB0127 Certify rolling stock prior to handover</w:t>
      </w:r>
    </w:p>
    <w:p w:rsidR="00000000" w:rsidRPr="00FC5882" w:rsidP="00FC5882">
      <w:pPr>
        <w:pStyle w:val="Heading1"/>
      </w:pPr>
      <w:bookmarkStart w:id="1" w:name="O_755475"/>
      <w:bookmarkEnd w:id="1"/>
      <w:r w:rsidRPr="00FC5882">
        <w:t>Modification History</w:t>
      </w:r>
    </w:p>
    <w:p w:rsidR="00513FD8" w:rsidP="00513FD8">
      <w:pPr>
        <w:pStyle w:val="BodyText"/>
      </w:pPr>
      <w:r w:rsidRPr="00FC5882">
        <w:t>Release 1. This is the first release of this unit of competency in the TLI Transport and Logistics Training Package.</w:t>
      </w:r>
    </w:p>
    <w:p w:rsidR="00000000" w:rsidRPr="00FC5882" w:rsidP="00FC5882">
      <w:pPr>
        <w:pStyle w:val="Heading1"/>
      </w:pPr>
      <w:bookmarkStart w:id="2" w:name="O_755476"/>
      <w:bookmarkEnd w:id="2"/>
      <w:r w:rsidRPr="00FC588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82" w:rsidP="00FC5882">
            <w:pPr>
              <w:pStyle w:val="BodyText"/>
            </w:pPr>
            <w:r w:rsidRPr="00FC5882">
              <w:t>This unit involves the skills and knowledge required to certify rolling stock as</w:t>
            </w:r>
            <w:r w:rsidRPr="00FC5882">
              <w:t xml:space="preserve"> fit for purpose in accordance with relevant organisational procedures, rail industry standards, rules, regulations and codes of practice.</w:t>
            </w:r>
          </w:p>
          <w:p w:rsidR="00000000" w:rsidRPr="00FC5882" w:rsidP="00FC5882">
            <w:pPr>
              <w:pStyle w:val="BodyText"/>
            </w:pPr>
            <w:r w:rsidRPr="00FC5882">
              <w:t>It includes completing certification and documentation in accordance with organisational or client requirements.</w:t>
            </w:r>
          </w:p>
          <w:p w:rsidR="00000000" w:rsidRPr="00FC5882" w:rsidP="00FC5882">
            <w:pPr>
              <w:pStyle w:val="BodyText"/>
            </w:pPr>
            <w:r w:rsidRPr="00FC5882">
              <w:t>This</w:t>
            </w:r>
            <w:r w:rsidRPr="00FC5882">
              <w:t xml:space="preserve"> unit applies to workers required to carry out these activities as part of a maintenance role within a defined location on behalf of their own or a client’s organisation.</w:t>
            </w:r>
          </w:p>
          <w:p w:rsidR="00000000" w:rsidRPr="00FC5882" w:rsidP="00FC5882">
            <w:pPr>
              <w:pStyle w:val="BodyText"/>
            </w:pPr>
            <w:r w:rsidRPr="00FC5882">
              <w:t>No licensing, legislative or certification requirements apply to this unit at the tim</w:t>
            </w:r>
            <w:r w:rsidRPr="00FC5882">
              <w:t>e of publication.</w:t>
            </w:r>
          </w:p>
        </w:tc>
      </w:tr>
    </w:tbl>
    <w:p w:rsidR="00513FD8" w:rsidP="00FC5882">
      <w:pPr>
        <w:pStyle w:val="BodyText"/>
      </w:pPr>
    </w:p>
    <w:p w:rsidR="00513FD8" w:rsidP="00FC5882">
      <w:pPr>
        <w:pStyle w:val="BodyText"/>
      </w:pPr>
    </w:p>
    <w:p w:rsidR="00000000" w:rsidRPr="00FC5882" w:rsidP="00FC5882">
      <w:pPr>
        <w:pStyle w:val="Heading1"/>
      </w:pPr>
      <w:bookmarkStart w:id="3" w:name="O_755477"/>
      <w:bookmarkEnd w:id="3"/>
      <w:r w:rsidRPr="00FC5882">
        <w:t>Pre-requisite Unit</w:t>
      </w:r>
    </w:p>
    <w:p w:rsidR="00000000" w:rsidRPr="00FC5882" w:rsidP="00513FD8">
      <w:pPr>
        <w:pStyle w:val="BodyText"/>
      </w:pPr>
      <w:r w:rsidRPr="00FC5882">
        <w:t>Not applicable.</w:t>
      </w:r>
    </w:p>
    <w:p w:rsidR="00000000" w:rsidRPr="00FC5882" w:rsidP="00FC5882">
      <w:pPr>
        <w:pStyle w:val="Heading1"/>
      </w:pPr>
      <w:bookmarkStart w:id="4" w:name="O_755478"/>
      <w:bookmarkEnd w:id="4"/>
      <w:r w:rsidRPr="00FC5882">
        <w:t>Competency Field</w:t>
      </w:r>
    </w:p>
    <w:p w:rsidR="00000000" w:rsidRPr="00FC5882" w:rsidP="00513FD8">
      <w:pPr>
        <w:pStyle w:val="BodyText"/>
      </w:pPr>
      <w:r w:rsidRPr="00FC5882">
        <w:t>B – Equipment Checking and Maintenance</w:t>
      </w:r>
    </w:p>
    <w:p w:rsidR="00000000" w:rsidRPr="00FC5882" w:rsidP="00FC5882">
      <w:pPr>
        <w:pStyle w:val="Heading1"/>
      </w:pPr>
      <w:bookmarkStart w:id="5" w:name="O_755479"/>
      <w:bookmarkEnd w:id="5"/>
      <w:r w:rsidRPr="00FC5882">
        <w:t>Unit Sector</w:t>
      </w:r>
    </w:p>
    <w:p w:rsidR="00000000" w:rsidRPr="00FC5882" w:rsidP="00513FD8">
      <w:pPr>
        <w:pStyle w:val="BodyText"/>
      </w:pPr>
      <w:r w:rsidRPr="00FC5882">
        <w:t>Not applicable.</w:t>
      </w:r>
    </w:p>
    <w:p w:rsidR="00000000" w:rsidRPr="00FC5882" w:rsidP="00FC5882">
      <w:pPr>
        <w:pStyle w:val="Heading1"/>
      </w:pPr>
      <w:bookmarkStart w:id="6" w:name="O_755480"/>
      <w:bookmarkEnd w:id="6"/>
      <w:r w:rsidRPr="00FC58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82" w:rsidP="00FC5882">
            <w:pPr>
              <w:pStyle w:val="BodyText"/>
            </w:pPr>
            <w:r w:rsidRPr="00FC588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rPr>
                <w:rStyle w:val="SpecialBold"/>
              </w:rPr>
              <w:t>PERFORMANCE CRITERIA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Performance criteria describe the performance needed to demonstrate achievement of the element.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82" w:rsidP="00FC5882">
            <w:pPr>
              <w:pStyle w:val="BodyText"/>
            </w:pPr>
            <w:r w:rsidRPr="00FC588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rPr>
                <w:rStyle w:val="SpecialBold"/>
              </w:rPr>
              <w:t xml:space="preserve">Complete certification </w:t>
            </w:r>
            <w:r w:rsidRPr="00FC5882">
              <w:rPr>
                <w:rStyle w:val="SpecialBold"/>
              </w:rPr>
              <w:t>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 xml:space="preserve">Certification requirements for particular rolling </w:t>
            </w:r>
            <w:r w:rsidRPr="00FC5882">
              <w:t>stock are confirmed by reference to applicable specifications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Planned activities are identified in accordance with organisational procedures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Hazards are identified, risks are assessed and control measures are implemented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Completed maintenance activities are verified against planned activities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Completed maintenance activities are validated as required in accordance with organisational procedures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Where maintenance activities are not completed an assessment is carried out to confirm rolling stock is fit for purpose in accordance with organisational procedures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Completed maintenance activities are confirmed against operational performance requi</w:t>
            </w:r>
            <w:r w:rsidRPr="00FC5882">
              <w:t>rements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Certificate is issued in accordance with organisational procedures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82" w:rsidP="00FC5882">
            <w:pPr>
              <w:pStyle w:val="BodyText"/>
            </w:pPr>
            <w:r w:rsidRPr="00FC588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Required documentation procedures and processes are confirmed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Documentation is filled in legibly and proofread, in accordance with organisational procedures and regulatory requirements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82" w:rsidP="00FC5882">
            <w:pPr>
              <w:pStyle w:val="BodyText"/>
            </w:pPr>
            <w:r w:rsidRPr="00FC5882">
              <w:t>Required documentation is archived in accordance with organisational procedures and regulatory requirements</w:t>
            </w:r>
          </w:p>
        </w:tc>
      </w:tr>
    </w:tbl>
    <w:p w:rsidR="00513FD8" w:rsidP="00FC5882">
      <w:pPr>
        <w:pStyle w:val="BodyText"/>
      </w:pPr>
    </w:p>
    <w:p w:rsidR="00513FD8" w:rsidP="00FC5882">
      <w:pPr>
        <w:pStyle w:val="BodyText"/>
      </w:pPr>
    </w:p>
    <w:p w:rsidR="00000000" w:rsidRPr="00FC5882" w:rsidP="00FC5882">
      <w:pPr>
        <w:pStyle w:val="Heading1"/>
      </w:pPr>
      <w:bookmarkStart w:id="7" w:name="O_755481"/>
      <w:bookmarkEnd w:id="7"/>
      <w:r w:rsidRPr="00FC5882">
        <w:t>Foundation Skills</w:t>
      </w:r>
    </w:p>
    <w:p w:rsidR="00513FD8" w:rsidP="00513FD8">
      <w:pPr>
        <w:pStyle w:val="BodyText"/>
      </w:pPr>
      <w:r w:rsidRPr="00FC5882">
        <w:t>Foundation skills essential to performance are explicit in the performance criteria of this unit of competency.</w:t>
      </w:r>
    </w:p>
    <w:p w:rsidR="00000000" w:rsidRPr="00FC5882" w:rsidP="00FC5882">
      <w:pPr>
        <w:pStyle w:val="Heading1"/>
      </w:pPr>
      <w:bookmarkStart w:id="8" w:name="O_755482"/>
      <w:bookmarkEnd w:id="8"/>
      <w:r w:rsidRPr="00FC5882">
        <w:t>Range of Conditions</w:t>
      </w:r>
    </w:p>
    <w:p w:rsidR="00000000" w:rsidRPr="00FC5882" w:rsidP="00513FD8">
      <w:pPr>
        <w:pStyle w:val="BodyText"/>
      </w:pPr>
      <w:r w:rsidRPr="00FC5882">
        <w:t>Range is restricted to essential operating conditions and any other variables es</w:t>
      </w:r>
      <w:r w:rsidRPr="00FC5882">
        <w:t>sential to the work environment.</w:t>
      </w:r>
    </w:p>
    <w:p w:rsidR="00513FD8" w:rsidP="00513FD8">
      <w:pPr>
        <w:pStyle w:val="BodyText"/>
      </w:pPr>
      <w:r w:rsidRPr="00FC5882">
        <w:t>Non-essential conditions can be found in the Companion Volume Implementation Guide.</w:t>
      </w:r>
    </w:p>
    <w:p w:rsidR="00000000" w:rsidRPr="00FC5882" w:rsidP="00FC5882">
      <w:pPr>
        <w:pStyle w:val="Heading1"/>
      </w:pPr>
      <w:bookmarkStart w:id="9" w:name="O_755483"/>
      <w:bookmarkEnd w:id="9"/>
      <w:r w:rsidRPr="00FC5882">
        <w:t>Unit Mapping Information</w:t>
      </w:r>
    </w:p>
    <w:p w:rsidR="00513FD8" w:rsidP="00513FD8">
      <w:pPr>
        <w:pStyle w:val="BodyText"/>
      </w:pPr>
      <w:r w:rsidRPr="00FC5882">
        <w:t>This unit replaces and is equivalent to TLIB0127A Certify rolling stock prior to handover.</w:t>
      </w:r>
    </w:p>
    <w:p w:rsidR="00000000" w:rsidRPr="00FC5882" w:rsidP="00FC5882">
      <w:pPr>
        <w:pStyle w:val="Heading1"/>
      </w:pPr>
      <w:bookmarkStart w:id="10" w:name="O_755490"/>
      <w:bookmarkEnd w:id="10"/>
      <w:r w:rsidRPr="00FC5882">
        <w:t>Links</w:t>
      </w:r>
    </w:p>
    <w:p w:rsidR="00000000" w:rsidRPr="00FC5882" w:rsidP="00513FD8">
      <w:pPr>
        <w:pStyle w:val="BodyText"/>
      </w:pPr>
      <w:r w:rsidRPr="00FC58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51B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C5882" w:rsidP="00513FD8">
      <w:pPr>
        <w:pStyle w:val="BodyText"/>
        <w:sectPr w:rsidSect="00FC58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5882" w:rsidP="00FC5882">
      <w:pPr>
        <w:pStyle w:val="SuperHeading"/>
      </w:pPr>
      <w:r w:rsidRPr="00FC5882">
        <w:t xml:space="preserve">Assessment </w:t>
      </w:r>
      <w:r w:rsidRPr="00FC5882">
        <w:t>Requirements for TLIB0127 Certify rolling stock prior to handover</w:t>
      </w:r>
    </w:p>
    <w:p w:rsidR="00000000" w:rsidRPr="00FC5882" w:rsidP="00FC5882">
      <w:pPr>
        <w:pStyle w:val="Heading1"/>
      </w:pPr>
      <w:bookmarkStart w:id="11" w:name="O_755485"/>
      <w:bookmarkEnd w:id="11"/>
      <w:r w:rsidRPr="00FC5882">
        <w:t>Modification History</w:t>
      </w:r>
    </w:p>
    <w:p w:rsidR="00513FD8" w:rsidP="00513FD8">
      <w:pPr>
        <w:pStyle w:val="BodyText"/>
      </w:pPr>
      <w:r w:rsidRPr="00FC5882">
        <w:t>Release 1. This is the first release of this unit of competency in the TLI Transport and Logistics Training Package.</w:t>
      </w:r>
    </w:p>
    <w:p w:rsidR="00000000" w:rsidRPr="00FC5882" w:rsidP="00FC5882">
      <w:pPr>
        <w:pStyle w:val="Heading1"/>
      </w:pPr>
      <w:bookmarkStart w:id="12" w:name="O_755486"/>
      <w:bookmarkEnd w:id="12"/>
      <w:r w:rsidRPr="00FC5882">
        <w:t>Performance Eviden</w:t>
      </w:r>
      <w:r w:rsidRPr="00FC5882">
        <w:t>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82" w:rsidP="00FC5882">
            <w:pPr>
              <w:pStyle w:val="ListBullet"/>
            </w:pPr>
            <w:r w:rsidRPr="00FC5882">
              <w:t>applying relevant workplace procedures</w:t>
            </w:r>
          </w:p>
          <w:p w:rsidR="00000000" w:rsidRPr="00FC5882" w:rsidP="00FC5882">
            <w:pPr>
              <w:pStyle w:val="ListBullet"/>
            </w:pPr>
            <w:r w:rsidRPr="00FC5882">
              <w:t>identifying job hazards</w:t>
            </w:r>
            <w:r w:rsidRPr="00FC5882">
              <w:t xml:space="preserve"> and taking required action to minimise, control or eliminate identified hazards </w:t>
            </w:r>
          </w:p>
          <w:p w:rsidR="00000000" w:rsidRPr="00FC5882" w:rsidP="00FC5882">
            <w:pPr>
              <w:pStyle w:val="ListBullet"/>
            </w:pPr>
            <w:r w:rsidRPr="00FC5882">
              <w:t>reading and interpreting relevant procedures and standards.</w:t>
            </w:r>
          </w:p>
        </w:tc>
      </w:tr>
    </w:tbl>
    <w:p w:rsidR="00000000" w:rsidRPr="00FC5882" w:rsidP="00FC5882">
      <w:pPr>
        <w:pStyle w:val="BodyText"/>
      </w:pPr>
    </w:p>
    <w:p w:rsidR="00000000" w:rsidRPr="00FC5882" w:rsidP="00FC5882">
      <w:pPr>
        <w:pStyle w:val="AllowPageBreak"/>
      </w:pPr>
    </w:p>
    <w:p w:rsidR="00000000" w:rsidRPr="00FC5882" w:rsidP="00FC5882">
      <w:pPr>
        <w:pStyle w:val="Heading1"/>
      </w:pPr>
      <w:bookmarkStart w:id="13" w:name="O_755487"/>
      <w:bookmarkEnd w:id="13"/>
      <w:r w:rsidRPr="00FC588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882">
            <w:pPr>
              <w:pStyle w:val="BodyText"/>
              <w:rPr>
                <w:lang w:val="en-NZ"/>
              </w:rPr>
            </w:pPr>
            <w:r w:rsidRPr="00FC5882">
              <w:t>Evidence required to demon</w:t>
            </w:r>
            <w:r w:rsidRPr="00FC5882">
              <w:t>strate competence in this unit must be relevant to and satisfy all of the requirements of the elements and performance criteria and include knowledge of:</w:t>
            </w:r>
          </w:p>
        </w:tc>
      </w:tr>
      <w:tr w:rsidTr="00513F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882" w:rsidP="00FC5882">
            <w:pPr>
              <w:pStyle w:val="ListBullet"/>
            </w:pPr>
            <w:r w:rsidRPr="00FC5882">
              <w:t xml:space="preserve">applicable specifications for the type of rolling stock being certified </w:t>
            </w:r>
          </w:p>
          <w:p w:rsidR="00000000" w:rsidRPr="00FC5882" w:rsidP="00FC5882">
            <w:pPr>
              <w:pStyle w:val="ListBullet"/>
            </w:pPr>
            <w:r w:rsidRPr="00FC5882">
              <w:t>organisational requirements for certifying rolling stock</w:t>
            </w:r>
          </w:p>
          <w:p w:rsidR="00000000" w:rsidRPr="00FC5882" w:rsidP="00FC5882">
            <w:pPr>
              <w:pStyle w:val="ListBullet"/>
            </w:pPr>
            <w:r w:rsidRPr="00FC5882">
              <w:t>relevant work health and safety (WHS)/occupational health and safety (OHS) and environmental procedures and relevant regulations</w:t>
            </w:r>
          </w:p>
          <w:p w:rsidR="00000000" w:rsidRPr="00FC5882" w:rsidP="00FC5882">
            <w:pPr>
              <w:pStyle w:val="ListBullet"/>
            </w:pPr>
            <w:r w:rsidRPr="00FC5882">
              <w:t>requirements for completing relevant documentation when certifying rol</w:t>
            </w:r>
            <w:r w:rsidRPr="00FC5882">
              <w:t>ling stock prior to handover</w:t>
            </w:r>
          </w:p>
          <w:p w:rsidR="00000000" w:rsidRPr="00FC5882" w:rsidP="00FC5882">
            <w:pPr>
              <w:pStyle w:val="ListBullet"/>
            </w:pPr>
            <w:r w:rsidRPr="00FC5882">
              <w:t>requirements of organisational maintenance systems, procedures, rail industry standards, codes of practice and schedules.</w:t>
            </w:r>
          </w:p>
        </w:tc>
      </w:tr>
    </w:tbl>
    <w:p w:rsidR="00000000" w:rsidRPr="00FC5882" w:rsidP="00FC5882">
      <w:pPr>
        <w:pStyle w:val="BodyText"/>
      </w:pPr>
    </w:p>
    <w:p w:rsidR="00000000" w:rsidRPr="00FC5882" w:rsidP="00FC5882">
      <w:pPr>
        <w:pStyle w:val="AllowPageBreak"/>
      </w:pPr>
    </w:p>
    <w:p w:rsidR="00000000" w:rsidRPr="00FC5882" w:rsidP="00FC5882">
      <w:pPr>
        <w:pStyle w:val="Heading1"/>
      </w:pPr>
      <w:bookmarkStart w:id="14" w:name="O_755488"/>
      <w:bookmarkEnd w:id="14"/>
      <w:r w:rsidRPr="00FC5882">
        <w:t>Assessment Conditions</w:t>
      </w:r>
    </w:p>
    <w:p w:rsidR="00000000" w:rsidRPr="00FC5882" w:rsidP="00513FD8">
      <w:pPr>
        <w:pStyle w:val="BodyText"/>
      </w:pPr>
      <w:r w:rsidRPr="00FC5882">
        <w:t xml:space="preserve">As a minimum, assessors must satisfy applicable regulatory requirements, which include requirements in the </w:t>
      </w:r>
      <w:r w:rsidRPr="00FC5882">
        <w:rPr>
          <w:rStyle w:val="Emphasis"/>
        </w:rPr>
        <w:t>Standards for Registered Training Organisations</w:t>
      </w:r>
      <w:r w:rsidRPr="00FC5882">
        <w:t xml:space="preserve"> current at the time of assessment. </w:t>
      </w:r>
    </w:p>
    <w:p w:rsidR="00000000" w:rsidRPr="00FC5882" w:rsidP="00513FD8">
      <w:pPr>
        <w:pStyle w:val="BodyText"/>
      </w:pPr>
      <w:r w:rsidRPr="00FC5882">
        <w:t>As a minimum, assessment must satisfy applicable regulatory requi</w:t>
      </w:r>
      <w:r w:rsidRPr="00FC5882">
        <w:t xml:space="preserve">rements, which include requirements in the </w:t>
      </w:r>
      <w:r w:rsidRPr="00FC5882">
        <w:rPr>
          <w:rStyle w:val="Emphasis"/>
        </w:rPr>
        <w:t>Standards for Registered Training Organisations</w:t>
      </w:r>
      <w:r w:rsidRPr="00FC5882">
        <w:t xml:space="preserve"> current at the time of assessment.</w:t>
      </w:r>
    </w:p>
    <w:p w:rsidR="00000000" w:rsidRPr="00FC5882" w:rsidP="00513FD8">
      <w:pPr>
        <w:pStyle w:val="BodyText"/>
      </w:pPr>
      <w:r w:rsidRPr="00FC5882">
        <w:t>Assessment must occur in workplace operational situations or, where this is not available, in simulated workplace operational situ</w:t>
      </w:r>
      <w:r w:rsidRPr="00FC5882">
        <w:t>ations that replicate rail corridor workplace conditions.</w:t>
      </w:r>
    </w:p>
    <w:p w:rsidR="00000000" w:rsidRPr="00FC5882" w:rsidP="00513FD8">
      <w:pPr>
        <w:pStyle w:val="BodyText"/>
      </w:pPr>
      <w:r w:rsidRPr="00FC5882">
        <w:t>Assessment processes and techniques must be appropriate to the language, literacy and numeracy requirements of the work being performed and the needs of the candidate.</w:t>
      </w:r>
    </w:p>
    <w:p w:rsidR="00000000" w:rsidRPr="00FC5882" w:rsidP="00513FD8">
      <w:pPr>
        <w:pStyle w:val="BodyText"/>
      </w:pPr>
      <w:r w:rsidRPr="00FC5882">
        <w:t>Resources for assessment inclu</w:t>
      </w:r>
      <w:r w:rsidRPr="00FC5882">
        <w:t>de:</w:t>
      </w:r>
    </w:p>
    <w:p w:rsidR="00000000" w:rsidRPr="00FC5882" w:rsidP="00FC5882">
      <w:pPr>
        <w:pStyle w:val="ListBullet"/>
      </w:pPr>
      <w:r w:rsidRPr="00FC5882">
        <w:t>a range of relevant exercises, case studies and/or simulations</w:t>
      </w:r>
    </w:p>
    <w:p w:rsidR="00000000" w:rsidRPr="00FC5882" w:rsidP="00FC5882">
      <w:pPr>
        <w:pStyle w:val="ListBullet"/>
      </w:pPr>
      <w:r w:rsidRPr="00FC5882">
        <w:t>relevant and appropriate materials, tools, equipment and personal protective equipment currently used in industry</w:t>
      </w:r>
    </w:p>
    <w:p w:rsidR="00513FD8" w:rsidP="00FC5882">
      <w:pPr>
        <w:pStyle w:val="ListBullet"/>
      </w:pPr>
      <w:r w:rsidRPr="00FC5882">
        <w:t>applicable documentation including workplace procedures, regulations, rail</w:t>
      </w:r>
      <w:r w:rsidRPr="00FC5882">
        <w:t xml:space="preserve"> industry standards, codes of practice and operation manuals.</w:t>
      </w:r>
    </w:p>
    <w:p w:rsidR="00513FD8" w:rsidP="00FC5882">
      <w:pPr>
        <w:pStyle w:val="ListBullet"/>
      </w:pPr>
    </w:p>
    <w:p w:rsidR="00000000" w:rsidRPr="00FC5882" w:rsidP="00FC5882">
      <w:pPr>
        <w:pStyle w:val="Heading1"/>
      </w:pPr>
      <w:bookmarkStart w:id="15" w:name="O_755491"/>
      <w:bookmarkEnd w:id="15"/>
      <w:r w:rsidRPr="00FC5882">
        <w:t>Links</w:t>
      </w:r>
    </w:p>
    <w:p w:rsidR="00000000" w:rsidRPr="00FC5882" w:rsidP="00513FD8">
      <w:pPr>
        <w:pStyle w:val="BodyText"/>
      </w:pPr>
      <w:r w:rsidRPr="00FC58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51B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C5882" w:rsidP="00FC5882"/>
    <w:sectPr w:rsidSect="00FC58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82" w:rsidRPr="00513FD8" w:rsidP="00513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FD8" w:rsidP="00FC5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3FD8" w:rsidP="00FC5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13FD8" w:rsidP="00FC58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82" w:rsidP="00FC5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3FD8">
      <w:t>Approved</w:t>
    </w:r>
    <w:r w:rsidR="00513F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3F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3FD8">
      <w:rPr>
        <w:noProof/>
      </w:rPr>
      <w:t>4</w:t>
    </w:r>
    <w:r>
      <w:rPr>
        <w:noProof/>
      </w:rPr>
      <w:fldChar w:fldCharType="end"/>
    </w:r>
  </w:p>
  <w:p w:rsidR="00FC5882" w:rsidP="00FC5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3F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3FD8">
      <w:t>Industry Skills Australia</w:t>
    </w:r>
    <w:r w:rsidR="00513FD8">
      <w:fldChar w:fldCharType="end"/>
    </w:r>
  </w:p>
  <w:p w:rsidR="00FC5882" w:rsidP="00FC58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882" w:rsidRPr="00513FD8" w:rsidP="00513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FD8" w:rsidRPr="002D2AF8" w:rsidP="00FC5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TLIB0127 Certify rolling stock prior to handover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13FD8" w:rsidP="00FC58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882" w:rsidRPr="002D2AF8" w:rsidP="00FC5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3FD8">
      <w:t>TLIB0127 Certify rolling stock prior to handover</w:t>
    </w:r>
    <w:r w:rsidR="00513F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3FD8">
      <w:rPr>
        <w:noProof/>
      </w:rPr>
      <w:t>1 March 2025</w:t>
    </w:r>
    <w:r>
      <w:fldChar w:fldCharType="end"/>
    </w:r>
  </w:p>
  <w:p w:rsidR="00FC5882" w:rsidP="00FC58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4C0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E4D7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8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8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8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8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8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8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8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8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8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8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8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882"/>
  </w:style>
  <w:style w:type="character" w:customStyle="1" w:styleId="Heading1Char">
    <w:name w:val="Heading 1 Char"/>
    <w:basedOn w:val="DefaultParagraphFont"/>
    <w:link w:val="Heading1"/>
    <w:rsid w:val="00FC58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8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8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8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882"/>
    <w:rPr>
      <w:b/>
      <w:spacing w:val="0"/>
    </w:rPr>
  </w:style>
  <w:style w:type="character" w:styleId="Emphasis">
    <w:name w:val="Emphasis"/>
    <w:basedOn w:val="DefaultParagraphFont"/>
    <w:qFormat/>
    <w:rsid w:val="00FC5882"/>
    <w:rPr>
      <w:i/>
    </w:rPr>
  </w:style>
  <w:style w:type="paragraph" w:customStyle="1" w:styleId="SuperHeading">
    <w:name w:val="SuperHeading"/>
    <w:basedOn w:val="Normal"/>
    <w:rsid w:val="00FC58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8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8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8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8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8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8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8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8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8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8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8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8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8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8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8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8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8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8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8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8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8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8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8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8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8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8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8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8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8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8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58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8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8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882"/>
  </w:style>
  <w:style w:type="paragraph" w:styleId="TableofFigures">
    <w:name w:val="table of figures"/>
    <w:basedOn w:val="Normal"/>
    <w:next w:val="Normal"/>
    <w:semiHidden/>
    <w:rsid w:val="00FC58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8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5882"/>
    <w:rPr>
      <w:rFonts w:ascii="Wingdings" w:hAnsi="Wingdings"/>
    </w:rPr>
  </w:style>
  <w:style w:type="paragraph" w:customStyle="1" w:styleId="TableHeading">
    <w:name w:val="Table Heading"/>
    <w:basedOn w:val="HeadingBase"/>
    <w:rsid w:val="00FC58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882"/>
    <w:rPr>
      <w:color w:val="0033CC"/>
      <w:u w:val="none"/>
    </w:rPr>
  </w:style>
  <w:style w:type="paragraph" w:customStyle="1" w:styleId="BodyTextRight">
    <w:name w:val="Body Text Right"/>
    <w:basedOn w:val="BodyText"/>
    <w:rsid w:val="00FC58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8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8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8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8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8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882"/>
    <w:rPr>
      <w:sz w:val="32"/>
    </w:rPr>
  </w:style>
  <w:style w:type="paragraph" w:customStyle="1" w:styleId="HeadingProcedure">
    <w:name w:val="Heading Procedure"/>
    <w:basedOn w:val="HeadingBase"/>
    <w:next w:val="Normal"/>
    <w:rsid w:val="00FC58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882"/>
    <w:pPr>
      <w:spacing w:before="60" w:after="60"/>
    </w:pPr>
  </w:style>
  <w:style w:type="paragraph" w:styleId="ListContinue">
    <w:name w:val="List Continue"/>
    <w:basedOn w:val="List"/>
    <w:rsid w:val="00FC5882"/>
    <w:pPr>
      <w:ind w:firstLine="0"/>
    </w:pPr>
  </w:style>
  <w:style w:type="paragraph" w:customStyle="1" w:styleId="ListNote">
    <w:name w:val="List Note"/>
    <w:basedOn w:val="List"/>
    <w:rsid w:val="00FC58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8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8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882"/>
    <w:rPr>
      <w:rFonts w:ascii="Courier New" w:hAnsi="Courier New"/>
    </w:rPr>
  </w:style>
  <w:style w:type="paragraph" w:customStyle="1" w:styleId="NoteBullet">
    <w:name w:val="Note Bullet"/>
    <w:basedOn w:val="Note"/>
    <w:rsid w:val="00FC58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8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8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8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8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8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8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882"/>
    <w:rPr>
      <w:b/>
      <w:smallCaps/>
    </w:rPr>
  </w:style>
  <w:style w:type="paragraph" w:customStyle="1" w:styleId="TableListNumber">
    <w:name w:val="Table List Number"/>
    <w:basedOn w:val="ListNumber"/>
    <w:rsid w:val="00FC58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8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882"/>
    <w:pPr>
      <w:numPr>
        <w:numId w:val="8"/>
      </w:numPr>
    </w:pPr>
  </w:style>
  <w:style w:type="paragraph" w:customStyle="1" w:styleId="ListAlpha2">
    <w:name w:val="List Alpha 2"/>
    <w:basedOn w:val="List2"/>
    <w:rsid w:val="00FC5882"/>
    <w:pPr>
      <w:numPr>
        <w:numId w:val="7"/>
      </w:numPr>
    </w:pPr>
  </w:style>
  <w:style w:type="paragraph" w:styleId="List2">
    <w:name w:val="List 2"/>
    <w:basedOn w:val="BodyText"/>
    <w:rsid w:val="00FC58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8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8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8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8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8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5882"/>
    <w:pPr>
      <w:numPr>
        <w:numId w:val="3"/>
      </w:numPr>
    </w:pPr>
  </w:style>
  <w:style w:type="paragraph" w:styleId="ListContinue2">
    <w:name w:val="List Continue 2"/>
    <w:basedOn w:val="List2"/>
    <w:rsid w:val="00FC5882"/>
    <w:pPr>
      <w:ind w:firstLine="0"/>
    </w:pPr>
  </w:style>
  <w:style w:type="paragraph" w:styleId="ListContinue3">
    <w:name w:val="List Continue 3"/>
    <w:basedOn w:val="List3"/>
    <w:rsid w:val="00FC5882"/>
    <w:pPr>
      <w:ind w:left="1021" w:firstLine="0"/>
    </w:pPr>
  </w:style>
  <w:style w:type="paragraph" w:styleId="ListContinue4">
    <w:name w:val="List Continue 4"/>
    <w:basedOn w:val="List4"/>
    <w:rsid w:val="00FC5882"/>
    <w:pPr>
      <w:ind w:firstLine="0"/>
    </w:pPr>
  </w:style>
  <w:style w:type="paragraph" w:styleId="ListContinue5">
    <w:name w:val="List Continue 5"/>
    <w:basedOn w:val="List5"/>
    <w:rsid w:val="00FC5882"/>
    <w:pPr>
      <w:ind w:firstLine="0"/>
    </w:pPr>
  </w:style>
  <w:style w:type="paragraph" w:styleId="ListNumber3">
    <w:name w:val="List Number 3"/>
    <w:basedOn w:val="List3"/>
    <w:rsid w:val="00FC5882"/>
    <w:pPr>
      <w:numPr>
        <w:numId w:val="4"/>
      </w:numPr>
    </w:pPr>
  </w:style>
  <w:style w:type="paragraph" w:styleId="ListNumber4">
    <w:name w:val="List Number 4"/>
    <w:basedOn w:val="List4"/>
    <w:rsid w:val="00FC5882"/>
    <w:pPr>
      <w:numPr>
        <w:numId w:val="5"/>
      </w:numPr>
    </w:pPr>
  </w:style>
  <w:style w:type="paragraph" w:styleId="ListNumber5">
    <w:name w:val="List Number 5"/>
    <w:basedOn w:val="List5"/>
    <w:rsid w:val="00FC5882"/>
    <w:pPr>
      <w:numPr>
        <w:numId w:val="6"/>
      </w:numPr>
    </w:pPr>
  </w:style>
  <w:style w:type="paragraph" w:styleId="BlockText">
    <w:name w:val="Block Text"/>
    <w:basedOn w:val="Normal"/>
    <w:rsid w:val="00FC58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8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882"/>
    <w:rPr>
      <w:sz w:val="16"/>
      <w:vertAlign w:val="superscript"/>
    </w:rPr>
  </w:style>
  <w:style w:type="character" w:customStyle="1" w:styleId="Symbols">
    <w:name w:val="Symbols"/>
    <w:basedOn w:val="DefaultParagraphFont"/>
    <w:rsid w:val="00FC5882"/>
    <w:rPr>
      <w:rFonts w:ascii="Symbol" w:hAnsi="Symbol"/>
    </w:rPr>
  </w:style>
  <w:style w:type="character" w:customStyle="1" w:styleId="MenuOptions">
    <w:name w:val="Menu Options"/>
    <w:basedOn w:val="DefaultParagraphFont"/>
    <w:rsid w:val="00FC58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882"/>
    <w:rPr>
      <w:b/>
    </w:rPr>
  </w:style>
  <w:style w:type="character" w:customStyle="1" w:styleId="Underlined">
    <w:name w:val="Underlined"/>
    <w:basedOn w:val="DefaultParagraphFont"/>
    <w:rsid w:val="00FC5882"/>
    <w:rPr>
      <w:u w:val="single"/>
    </w:rPr>
  </w:style>
  <w:style w:type="paragraph" w:customStyle="1" w:styleId="TableBodyTextRight">
    <w:name w:val="Table Body Text Right"/>
    <w:basedOn w:val="TableBodyText"/>
    <w:rsid w:val="00FC58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882"/>
    <w:rPr>
      <w:sz w:val="18"/>
    </w:rPr>
  </w:style>
  <w:style w:type="paragraph" w:customStyle="1" w:styleId="BodySmallRight">
    <w:name w:val="Body Small Right"/>
    <w:basedOn w:val="BodyTextRight"/>
    <w:rsid w:val="00FC5882"/>
    <w:rPr>
      <w:sz w:val="18"/>
      <w:szCs w:val="18"/>
    </w:rPr>
  </w:style>
  <w:style w:type="paragraph" w:customStyle="1" w:styleId="MarginEdition">
    <w:name w:val="Margin Edition"/>
    <w:basedOn w:val="MarginNote"/>
    <w:rsid w:val="00FC58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882"/>
    <w:rPr>
      <w:sz w:val="2"/>
      <w:szCs w:val="2"/>
    </w:rPr>
  </w:style>
  <w:style w:type="character" w:customStyle="1" w:styleId="Small">
    <w:name w:val="Small"/>
    <w:basedOn w:val="DefaultParagraphFont"/>
    <w:rsid w:val="00FC5882"/>
    <w:rPr>
      <w:sz w:val="16"/>
    </w:rPr>
  </w:style>
  <w:style w:type="paragraph" w:customStyle="1" w:styleId="WideTable">
    <w:name w:val="Wide Table"/>
    <w:basedOn w:val="Normal"/>
    <w:rsid w:val="00FC58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882"/>
  </w:style>
  <w:style w:type="paragraph" w:styleId="Quote">
    <w:name w:val="Quote"/>
    <w:basedOn w:val="Heading1"/>
    <w:link w:val="QuoteChar"/>
    <w:qFormat/>
    <w:rsid w:val="00FC58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8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882"/>
    <w:pPr>
      <w:pageBreakBefore/>
    </w:pPr>
  </w:style>
  <w:style w:type="paragraph" w:customStyle="1" w:styleId="Border">
    <w:name w:val="Border"/>
    <w:basedOn w:val="Normal"/>
    <w:qFormat/>
    <w:rsid w:val="00FC58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8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8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8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8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8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8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8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8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882"/>
    <w:rPr>
      <w:u w:val="single"/>
    </w:rPr>
  </w:style>
  <w:style w:type="character" w:customStyle="1" w:styleId="BoldandItalics">
    <w:name w:val="Bold and Italics"/>
    <w:qFormat/>
    <w:rsid w:val="00FC5882"/>
    <w:rPr>
      <w:b/>
      <w:i/>
      <w:u w:val="none"/>
    </w:rPr>
  </w:style>
  <w:style w:type="paragraph" w:styleId="BalloonText">
    <w:name w:val="Balloon Text"/>
    <w:basedOn w:val="Normal"/>
    <w:link w:val="BalloonTextChar"/>
    <w:rsid w:val="00FC5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8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8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8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8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8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882"/>
    <w:pPr>
      <w:spacing w:before="0" w:after="0"/>
    </w:pPr>
  </w:style>
  <w:style w:type="paragraph" w:customStyle="1" w:styleId="BodyTextBold">
    <w:name w:val="Body Text Bold"/>
    <w:basedOn w:val="BodyText"/>
    <w:qFormat/>
    <w:rsid w:val="00FC5882"/>
    <w:rPr>
      <w:b/>
    </w:rPr>
  </w:style>
  <w:style w:type="character" w:styleId="Hyperlink">
    <w:name w:val="Hyperlink"/>
    <w:basedOn w:val="DefaultParagraphFont"/>
    <w:uiPriority w:val="99"/>
    <w:unhideWhenUsed/>
    <w:rsid w:val="00513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5102</Characters>
  <Application>Microsoft Office Word</Application>
  <DocSecurity>0</DocSecurity>
  <Lines>164</Lines>
  <Paragraphs>99</Paragraphs>
  <ScaleCrop>false</ScaleCrop>
  <Company>Author-it Software Corporation Ltd.</Company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TLIB0127 Certify rolling stock prior to handover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2025-03-01T11:12:00Z</dcterms:created>
  <dcterms:modified xsi:type="dcterms:W3CDTF">2025-03-01T11:12:00Z</dcterms:modified>
</cp:coreProperties>
</file>