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A7B" w:rsidP="00124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TLIB0117 Assist with preparation of a train prior to operation</w:t>
      </w:r>
      <w:r>
        <w:fldChar w:fldCharType="end"/>
      </w:r>
    </w:p>
    <w:p w:rsidR="00124A7B" w:rsidP="00124A7B">
      <w:pPr>
        <w:pStyle w:val="Version"/>
        <w:sectPr w:rsidSect="00297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DBE" w:rsidP="00297DBE">
      <w:pPr>
        <w:pStyle w:val="SuperHeading"/>
      </w:pPr>
      <w:r w:rsidRPr="00297DBE">
        <w:t>TLIB0117 Assist with preparation of a train prior to operation</w:t>
      </w:r>
    </w:p>
    <w:p w:rsidR="00000000" w:rsidRPr="00297DBE" w:rsidP="00297DBE">
      <w:pPr>
        <w:pStyle w:val="Heading1"/>
      </w:pPr>
      <w:bookmarkStart w:id="1" w:name="O_755437"/>
      <w:bookmarkEnd w:id="1"/>
      <w:r w:rsidRPr="00297DBE">
        <w:t>Modification History</w:t>
      </w:r>
    </w:p>
    <w:p w:rsidR="00124A7B" w:rsidP="00124A7B">
      <w:pPr>
        <w:pStyle w:val="BodyText"/>
      </w:pPr>
      <w:r w:rsidRPr="00297DBE">
        <w:t>Release 1. This is the first release of this unit of competency in the TLI Transport and Logistics Training Package.</w:t>
      </w:r>
    </w:p>
    <w:p w:rsidR="00000000" w:rsidRPr="00297DBE" w:rsidP="00297DBE">
      <w:pPr>
        <w:pStyle w:val="Heading1"/>
      </w:pPr>
      <w:bookmarkStart w:id="2" w:name="O_755438"/>
      <w:bookmarkEnd w:id="2"/>
      <w:r w:rsidRPr="00297DB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DBE" w:rsidP="00297DBE">
            <w:pPr>
              <w:pStyle w:val="BodyText"/>
            </w:pPr>
            <w:r w:rsidRPr="00297DBE">
              <w:t xml:space="preserve">This unit involves the skills and knowledge required to assist with the preparation of a train prior to operation in accordance with organisational procedures, and the requirements of relevant safeworking rules and codes of practice. </w:t>
            </w:r>
          </w:p>
          <w:p w:rsidR="00000000" w:rsidRPr="00297DBE" w:rsidP="00297DBE">
            <w:pPr>
              <w:pStyle w:val="BodyText"/>
            </w:pPr>
            <w:r w:rsidRPr="00297DBE">
              <w:t>It includes preparing</w:t>
            </w:r>
            <w:r w:rsidRPr="00297DBE">
              <w:t xml:space="preserve"> for and implementing the prescribed pre-departure checks, completing required train documentation and confirming the train can proceed. </w:t>
            </w:r>
          </w:p>
          <w:p w:rsidR="00000000" w:rsidRPr="00297DBE" w:rsidP="00297DBE">
            <w:pPr>
              <w:pStyle w:val="BodyText"/>
            </w:pPr>
            <w:r w:rsidRPr="00297DBE">
              <w:t>People achieving competence in this unit will need to fulfil the applicable state/territory legislated rail safety req</w:t>
            </w:r>
            <w:r w:rsidRPr="00297DBE">
              <w:t>uirements and to comply with relevant codes of practice and/or guidelines.</w:t>
            </w:r>
          </w:p>
          <w:p w:rsidR="00000000" w:rsidRPr="00297DBE" w:rsidP="00297DBE">
            <w:pPr>
              <w:pStyle w:val="BodyText"/>
            </w:pPr>
            <w:r w:rsidRPr="00297DBE">
              <w:t>Work is performed in conjunction with a train driver. It involves the application of routine operational principles and procedures when preparing for train operations, as part of wo</w:t>
            </w:r>
            <w:r w:rsidRPr="00297DBE">
              <w:t>rkplace activities across a variety of operational contexts within the Australian rail system.</w:t>
            </w:r>
          </w:p>
          <w:p w:rsidR="00000000" w:rsidRPr="00297DBE" w:rsidP="00297DBE">
            <w:pPr>
              <w:pStyle w:val="BodyText"/>
            </w:pPr>
            <w:r w:rsidRPr="00297DBE">
              <w:t>No licensing, legislative or certification requirements apply to this unit at the time of publication.</w:t>
            </w:r>
          </w:p>
        </w:tc>
      </w:tr>
    </w:tbl>
    <w:p w:rsidR="00124A7B" w:rsidP="00297DBE">
      <w:pPr>
        <w:pStyle w:val="BodyText"/>
      </w:pPr>
    </w:p>
    <w:p w:rsidR="00124A7B" w:rsidP="00297DBE">
      <w:pPr>
        <w:pStyle w:val="BodyText"/>
      </w:pPr>
    </w:p>
    <w:p w:rsidR="00000000" w:rsidRPr="00297DBE" w:rsidP="00297DBE">
      <w:pPr>
        <w:pStyle w:val="Heading1"/>
      </w:pPr>
      <w:bookmarkStart w:id="3" w:name="O_755439"/>
      <w:bookmarkEnd w:id="3"/>
      <w:r w:rsidRPr="00297DBE">
        <w:t>Pre-requisite Unit</w:t>
      </w:r>
    </w:p>
    <w:p w:rsidR="00000000" w:rsidRPr="00297DBE" w:rsidP="00124A7B">
      <w:pPr>
        <w:pStyle w:val="BodyText"/>
      </w:pPr>
      <w:r w:rsidRPr="00297DBE">
        <w:t>Not applicable.</w:t>
      </w:r>
    </w:p>
    <w:p w:rsidR="00000000" w:rsidRPr="00297DBE" w:rsidP="00297DBE">
      <w:pPr>
        <w:pStyle w:val="Heading1"/>
      </w:pPr>
      <w:bookmarkStart w:id="4" w:name="O_755440"/>
      <w:bookmarkEnd w:id="4"/>
      <w:r w:rsidRPr="00297DBE">
        <w:t>Competency Field</w:t>
      </w:r>
    </w:p>
    <w:p w:rsidR="00000000" w:rsidRPr="00297DBE" w:rsidP="00124A7B">
      <w:pPr>
        <w:pStyle w:val="BodyText"/>
      </w:pPr>
      <w:r w:rsidRPr="00297DBE">
        <w:t>B – Equipment Checking and Maintenance</w:t>
      </w:r>
    </w:p>
    <w:p w:rsidR="00000000" w:rsidRPr="00297DBE" w:rsidP="00297DBE">
      <w:pPr>
        <w:pStyle w:val="Heading1"/>
      </w:pPr>
      <w:bookmarkStart w:id="5" w:name="O_755441"/>
      <w:bookmarkEnd w:id="5"/>
      <w:r w:rsidRPr="00297DBE">
        <w:t>Unit Sector</w:t>
      </w:r>
    </w:p>
    <w:p w:rsidR="00000000" w:rsidRPr="00297DBE" w:rsidP="00124A7B">
      <w:pPr>
        <w:pStyle w:val="BodyText"/>
      </w:pPr>
      <w:r w:rsidRPr="00297DBE">
        <w:t>Not applicable.</w:t>
      </w:r>
    </w:p>
    <w:p w:rsidR="00000000" w:rsidRPr="00297DBE" w:rsidP="00297DBE">
      <w:pPr>
        <w:pStyle w:val="Heading1"/>
      </w:pPr>
      <w:bookmarkStart w:id="6" w:name="O_755442"/>
      <w:bookmarkEnd w:id="6"/>
      <w:r w:rsidRPr="00297D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DBE" w:rsidP="00297DBE">
            <w:pPr>
              <w:pStyle w:val="BodyText"/>
            </w:pPr>
            <w:r w:rsidRPr="00297DB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rPr>
                <w:rStyle w:val="SpecialBold"/>
              </w:rPr>
              <w:t>PERFORMANCE CRITERIA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Performance criteria describe the performance needed to demonstrate achievement of the element.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DBE" w:rsidP="00297DBE">
            <w:pPr>
              <w:pStyle w:val="BodyText"/>
            </w:pPr>
            <w:r w:rsidRPr="00297DB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rPr>
                <w:rStyle w:val="SpecialBold"/>
              </w:rPr>
              <w:t>Prepare for pre-departure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Required checks and relevant procedures and standards are identified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Purpose of the journey and activities to be undertaken are identified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Constraints and special instructions that may apply for the journey are identified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Hazards are identified, risks are assessed and risk control measures are implemented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Documentation is read to identify and confirm consist, attach/detach information and characteristics of the train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DBE" w:rsidP="00297DBE">
            <w:pPr>
              <w:pStyle w:val="BodyText"/>
            </w:pPr>
            <w:r w:rsidRPr="00297DB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rPr>
                <w:rStyle w:val="SpecialBold"/>
              </w:rPr>
              <w:t>Implement pre-departure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Train, or relevant portion of the train, is checked to ensure that rolling stock is coupled and sequ</w:t>
            </w:r>
            <w:r w:rsidRPr="00297DBE">
              <w:t>enced correctly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Rolling stock is checked to ensure it is fit for operation in accordance with regulatory requirements and organisational procedures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Assistance is provided when train braking systems are tested to ensure they are operating effectively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Visual inspection is conducted to identify obvious faults or defects that would prevent safe transit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Action is taken within limits of own ro</w:t>
            </w:r>
            <w:r w:rsidRPr="00297DBE">
              <w:t>le to rectify faults and ensure minimum delay to planned running schedule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Relevant work health and safety (WHS)/occupational health and safety (OHS) requirements are followed to prevent injury and damage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DBE" w:rsidP="00297DBE">
            <w:pPr>
              <w:pStyle w:val="BodyText"/>
            </w:pPr>
            <w:r w:rsidRPr="00297DB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rPr>
                <w:rStyle w:val="SpecialBold"/>
              </w:rPr>
              <w:t>Confirm train can proceed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Documentation is completed after checking rolling stock and train equipment in accordance with organisational procedures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Relevant personnel are promptly advised of the result of completed checks</w:t>
            </w:r>
          </w:p>
        </w:tc>
      </w:tr>
      <w:tr w:rsidTr="00124A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DBE">
            <w:pPr>
              <w:pStyle w:val="BodyText"/>
              <w:rPr>
                <w:lang w:val="en-NZ"/>
              </w:rPr>
            </w:pPr>
            <w:r w:rsidRPr="00297DB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DBE" w:rsidP="00297DBE">
            <w:pPr>
              <w:pStyle w:val="BodyText"/>
            </w:pPr>
            <w:r w:rsidRPr="00297DBE">
              <w:t>Authority to proceed relevant to the operationa</w:t>
            </w:r>
            <w:r w:rsidRPr="00297DBE">
              <w:t>l situation is obtained and followed</w:t>
            </w:r>
          </w:p>
        </w:tc>
      </w:tr>
    </w:tbl>
    <w:p w:rsidR="00124A7B" w:rsidP="00297DBE">
      <w:pPr>
        <w:pStyle w:val="BodyText"/>
      </w:pPr>
    </w:p>
    <w:p w:rsidR="00124A7B" w:rsidP="00297DBE">
      <w:pPr>
        <w:pStyle w:val="BodyText"/>
      </w:pPr>
    </w:p>
    <w:p w:rsidR="00000000" w:rsidRPr="00297DBE" w:rsidP="00297DBE">
      <w:pPr>
        <w:pStyle w:val="Heading1"/>
      </w:pPr>
      <w:bookmarkStart w:id="7" w:name="O_755443"/>
      <w:bookmarkEnd w:id="7"/>
      <w:r w:rsidRPr="00297DBE">
        <w:t>Foundation Skills</w:t>
      </w:r>
    </w:p>
    <w:p w:rsidR="00124A7B" w:rsidP="00124A7B">
      <w:pPr>
        <w:pStyle w:val="BodyText"/>
      </w:pPr>
      <w:r w:rsidRPr="00297DBE">
        <w:t>Foundation skills essential to performance are explicit in the performance criteria of this unit of competency.</w:t>
      </w:r>
    </w:p>
    <w:p w:rsidR="00000000" w:rsidRPr="00297DBE" w:rsidP="00297DBE">
      <w:pPr>
        <w:pStyle w:val="Heading1"/>
      </w:pPr>
      <w:bookmarkStart w:id="8" w:name="O_755444"/>
      <w:bookmarkEnd w:id="8"/>
      <w:r w:rsidRPr="00297DBE">
        <w:t>Range of Conditions</w:t>
      </w:r>
    </w:p>
    <w:p w:rsidR="00000000" w:rsidRPr="00297DBE" w:rsidP="00124A7B">
      <w:pPr>
        <w:pStyle w:val="BodyText"/>
      </w:pPr>
      <w:r w:rsidRPr="00297DBE">
        <w:t>Range is restricted to essential operating conditions and any other variables essential to the work environment.</w:t>
      </w:r>
    </w:p>
    <w:p w:rsidR="00124A7B" w:rsidP="00124A7B">
      <w:pPr>
        <w:pStyle w:val="BodyText"/>
      </w:pPr>
      <w:r w:rsidRPr="00297DBE">
        <w:t>Non-essential conditions can be found in the Companion Volume Implementation Guide.</w:t>
      </w:r>
    </w:p>
    <w:p w:rsidR="00000000" w:rsidRPr="00297DBE" w:rsidP="00297DBE">
      <w:pPr>
        <w:pStyle w:val="Heading1"/>
      </w:pPr>
      <w:bookmarkStart w:id="9" w:name="O_755445"/>
      <w:bookmarkEnd w:id="9"/>
      <w:r w:rsidRPr="00297DBE">
        <w:t>Unit Mapping Information</w:t>
      </w:r>
    </w:p>
    <w:p w:rsidR="00124A7B" w:rsidP="00124A7B">
      <w:pPr>
        <w:pStyle w:val="BodyText"/>
      </w:pPr>
      <w:r w:rsidRPr="00297DBE">
        <w:t>This unit replac</w:t>
      </w:r>
      <w:r w:rsidRPr="00297DBE">
        <w:t>es and is equivalent to TLIB0117A Assist with preparation of a train prior to operation.</w:t>
      </w:r>
    </w:p>
    <w:p w:rsidR="00000000" w:rsidRPr="00297DBE" w:rsidP="00297DBE">
      <w:pPr>
        <w:pStyle w:val="Heading1"/>
      </w:pPr>
      <w:bookmarkStart w:id="10" w:name="O_755452"/>
      <w:bookmarkEnd w:id="10"/>
      <w:r w:rsidRPr="00297DBE">
        <w:t>Links</w:t>
      </w:r>
    </w:p>
    <w:p w:rsidR="00000000" w:rsidRPr="00297DBE" w:rsidP="00124A7B">
      <w:pPr>
        <w:pStyle w:val="BodyText"/>
      </w:pPr>
      <w:r w:rsidRPr="00297D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202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7DBE" w:rsidP="00297DBE"/>
    <w:sectPr w:rsidSect="00297D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BE" w:rsidRPr="00124A7B" w:rsidP="00124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7B" w:rsidP="00297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A7B" w:rsidP="00297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4A7B" w:rsidP="00297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DBE" w:rsidRPr="00124A7B" w:rsidP="00124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7B" w:rsidRPr="002D2AF8" w:rsidP="00297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TLIB0117 Assist with preparation of a train prior to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124A7B" w:rsidP="00297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DBE"/>
  </w:style>
  <w:style w:type="character" w:customStyle="1" w:styleId="Heading1Char">
    <w:name w:val="Heading 1 Char"/>
    <w:basedOn w:val="DefaultParagraphFont"/>
    <w:link w:val="Heading1"/>
    <w:rsid w:val="00297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D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7DBE"/>
    <w:rPr>
      <w:b/>
      <w:spacing w:val="0"/>
    </w:rPr>
  </w:style>
  <w:style w:type="paragraph" w:customStyle="1" w:styleId="SuperHeading">
    <w:name w:val="SuperHeading"/>
    <w:basedOn w:val="Normal"/>
    <w:rsid w:val="00297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D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D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7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D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D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DBE"/>
    <w:rPr>
      <w:i/>
    </w:rPr>
  </w:style>
  <w:style w:type="paragraph" w:styleId="Caption">
    <w:name w:val="caption"/>
    <w:basedOn w:val="BodyText"/>
    <w:next w:val="Normal"/>
    <w:qFormat/>
    <w:rsid w:val="00297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DBE"/>
  </w:style>
  <w:style w:type="paragraph" w:styleId="TableofFigures">
    <w:name w:val="table of figures"/>
    <w:basedOn w:val="Normal"/>
    <w:next w:val="Normal"/>
    <w:semiHidden/>
    <w:rsid w:val="00297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D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7DBE"/>
    <w:rPr>
      <w:rFonts w:ascii="Wingdings" w:hAnsi="Wingdings"/>
    </w:rPr>
  </w:style>
  <w:style w:type="paragraph" w:customStyle="1" w:styleId="TableHeading">
    <w:name w:val="Table Heading"/>
    <w:basedOn w:val="HeadingBase"/>
    <w:rsid w:val="00297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DBE"/>
    <w:rPr>
      <w:color w:val="0033CC"/>
      <w:u w:val="none"/>
    </w:rPr>
  </w:style>
  <w:style w:type="paragraph" w:customStyle="1" w:styleId="BodyTextRight">
    <w:name w:val="Body Text Right"/>
    <w:basedOn w:val="BodyText"/>
    <w:rsid w:val="00297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D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DBE"/>
    <w:rPr>
      <w:sz w:val="32"/>
    </w:rPr>
  </w:style>
  <w:style w:type="paragraph" w:customStyle="1" w:styleId="HeadingProcedure">
    <w:name w:val="Heading Procedure"/>
    <w:basedOn w:val="HeadingBase"/>
    <w:next w:val="Normal"/>
    <w:rsid w:val="00297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DBE"/>
    <w:pPr>
      <w:spacing w:before="60" w:after="60"/>
    </w:pPr>
  </w:style>
  <w:style w:type="paragraph" w:styleId="ListContinue">
    <w:name w:val="List Continue"/>
    <w:basedOn w:val="List"/>
    <w:rsid w:val="00297DBE"/>
    <w:pPr>
      <w:ind w:firstLine="0"/>
    </w:pPr>
  </w:style>
  <w:style w:type="paragraph" w:customStyle="1" w:styleId="ListNote">
    <w:name w:val="List Note"/>
    <w:basedOn w:val="List"/>
    <w:rsid w:val="00297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DBE"/>
    <w:rPr>
      <w:rFonts w:ascii="Courier New" w:hAnsi="Courier New"/>
    </w:rPr>
  </w:style>
  <w:style w:type="paragraph" w:customStyle="1" w:styleId="NoteBullet">
    <w:name w:val="Note Bullet"/>
    <w:basedOn w:val="Note"/>
    <w:rsid w:val="00297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D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7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DBE"/>
    <w:rPr>
      <w:b/>
      <w:smallCaps/>
    </w:rPr>
  </w:style>
  <w:style w:type="paragraph" w:customStyle="1" w:styleId="TableListNumber">
    <w:name w:val="Table List Number"/>
    <w:basedOn w:val="ListNumber"/>
    <w:rsid w:val="00297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DBE"/>
    <w:pPr>
      <w:numPr>
        <w:numId w:val="7"/>
      </w:numPr>
    </w:pPr>
  </w:style>
  <w:style w:type="paragraph" w:customStyle="1" w:styleId="ListAlpha2">
    <w:name w:val="List Alpha 2"/>
    <w:basedOn w:val="List2"/>
    <w:rsid w:val="00297DBE"/>
    <w:pPr>
      <w:numPr>
        <w:numId w:val="6"/>
      </w:numPr>
    </w:pPr>
  </w:style>
  <w:style w:type="paragraph" w:styleId="List2">
    <w:name w:val="List 2"/>
    <w:basedOn w:val="BodyText"/>
    <w:rsid w:val="00297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D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D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7DBE"/>
    <w:pPr>
      <w:numPr>
        <w:numId w:val="2"/>
      </w:numPr>
    </w:pPr>
  </w:style>
  <w:style w:type="paragraph" w:styleId="ListContinue2">
    <w:name w:val="List Continue 2"/>
    <w:basedOn w:val="List2"/>
    <w:rsid w:val="00297DBE"/>
    <w:pPr>
      <w:ind w:firstLine="0"/>
    </w:pPr>
  </w:style>
  <w:style w:type="paragraph" w:styleId="ListContinue3">
    <w:name w:val="List Continue 3"/>
    <w:basedOn w:val="List3"/>
    <w:rsid w:val="00297DBE"/>
    <w:pPr>
      <w:ind w:left="1021" w:firstLine="0"/>
    </w:pPr>
  </w:style>
  <w:style w:type="paragraph" w:styleId="ListContinue4">
    <w:name w:val="List Continue 4"/>
    <w:basedOn w:val="List4"/>
    <w:rsid w:val="00297DBE"/>
    <w:pPr>
      <w:ind w:firstLine="0"/>
    </w:pPr>
  </w:style>
  <w:style w:type="paragraph" w:styleId="ListContinue5">
    <w:name w:val="List Continue 5"/>
    <w:basedOn w:val="List5"/>
    <w:rsid w:val="00297DBE"/>
    <w:pPr>
      <w:ind w:firstLine="0"/>
    </w:pPr>
  </w:style>
  <w:style w:type="paragraph" w:styleId="ListNumber3">
    <w:name w:val="List Number 3"/>
    <w:basedOn w:val="List3"/>
    <w:rsid w:val="00297DBE"/>
    <w:pPr>
      <w:numPr>
        <w:numId w:val="3"/>
      </w:numPr>
    </w:pPr>
  </w:style>
  <w:style w:type="paragraph" w:styleId="ListNumber4">
    <w:name w:val="List Number 4"/>
    <w:basedOn w:val="List4"/>
    <w:rsid w:val="00297DBE"/>
    <w:pPr>
      <w:numPr>
        <w:numId w:val="4"/>
      </w:numPr>
    </w:pPr>
  </w:style>
  <w:style w:type="paragraph" w:styleId="ListNumber5">
    <w:name w:val="List Number 5"/>
    <w:basedOn w:val="List5"/>
    <w:rsid w:val="00297DBE"/>
    <w:pPr>
      <w:numPr>
        <w:numId w:val="5"/>
      </w:numPr>
    </w:pPr>
  </w:style>
  <w:style w:type="paragraph" w:styleId="BlockText">
    <w:name w:val="Block Text"/>
    <w:basedOn w:val="Normal"/>
    <w:rsid w:val="00297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DBE"/>
    <w:rPr>
      <w:sz w:val="16"/>
      <w:vertAlign w:val="superscript"/>
    </w:rPr>
  </w:style>
  <w:style w:type="character" w:customStyle="1" w:styleId="Symbols">
    <w:name w:val="Symbols"/>
    <w:basedOn w:val="DefaultParagraphFont"/>
    <w:rsid w:val="00297DBE"/>
    <w:rPr>
      <w:rFonts w:ascii="Symbol" w:hAnsi="Symbol"/>
    </w:rPr>
  </w:style>
  <w:style w:type="character" w:customStyle="1" w:styleId="MenuOptions">
    <w:name w:val="Menu Options"/>
    <w:basedOn w:val="DefaultParagraphFont"/>
    <w:rsid w:val="00297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DBE"/>
    <w:rPr>
      <w:b/>
    </w:rPr>
  </w:style>
  <w:style w:type="character" w:customStyle="1" w:styleId="Underlined">
    <w:name w:val="Underlined"/>
    <w:basedOn w:val="DefaultParagraphFont"/>
    <w:rsid w:val="00297DBE"/>
    <w:rPr>
      <w:u w:val="single"/>
    </w:rPr>
  </w:style>
  <w:style w:type="paragraph" w:customStyle="1" w:styleId="TableBodyTextRight">
    <w:name w:val="Table Body Text Right"/>
    <w:basedOn w:val="TableBodyText"/>
    <w:rsid w:val="00297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DBE"/>
    <w:rPr>
      <w:sz w:val="18"/>
    </w:rPr>
  </w:style>
  <w:style w:type="paragraph" w:customStyle="1" w:styleId="BodySmallRight">
    <w:name w:val="Body Small Right"/>
    <w:basedOn w:val="BodyTextRight"/>
    <w:rsid w:val="00297DBE"/>
    <w:rPr>
      <w:sz w:val="18"/>
      <w:szCs w:val="18"/>
    </w:rPr>
  </w:style>
  <w:style w:type="paragraph" w:customStyle="1" w:styleId="MarginEdition">
    <w:name w:val="Margin Edition"/>
    <w:basedOn w:val="MarginNote"/>
    <w:rsid w:val="00297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DBE"/>
    <w:rPr>
      <w:sz w:val="2"/>
      <w:szCs w:val="2"/>
    </w:rPr>
  </w:style>
  <w:style w:type="character" w:customStyle="1" w:styleId="Small">
    <w:name w:val="Small"/>
    <w:basedOn w:val="DefaultParagraphFont"/>
    <w:rsid w:val="00297DBE"/>
    <w:rPr>
      <w:sz w:val="16"/>
    </w:rPr>
  </w:style>
  <w:style w:type="paragraph" w:customStyle="1" w:styleId="WideTable">
    <w:name w:val="Wide Table"/>
    <w:basedOn w:val="Normal"/>
    <w:rsid w:val="00297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DBE"/>
  </w:style>
  <w:style w:type="paragraph" w:styleId="Quote">
    <w:name w:val="Quote"/>
    <w:basedOn w:val="Heading1"/>
    <w:link w:val="QuoteChar"/>
    <w:qFormat/>
    <w:rsid w:val="00297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DBE"/>
    <w:pPr>
      <w:pageBreakBefore/>
    </w:pPr>
  </w:style>
  <w:style w:type="paragraph" w:customStyle="1" w:styleId="Border">
    <w:name w:val="Border"/>
    <w:basedOn w:val="Normal"/>
    <w:qFormat/>
    <w:rsid w:val="00297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DBE"/>
    <w:rPr>
      <w:u w:val="single"/>
    </w:rPr>
  </w:style>
  <w:style w:type="character" w:customStyle="1" w:styleId="BoldandItalics">
    <w:name w:val="Bold and Italics"/>
    <w:qFormat/>
    <w:rsid w:val="00297DBE"/>
    <w:rPr>
      <w:b/>
      <w:i/>
      <w:u w:val="none"/>
    </w:rPr>
  </w:style>
  <w:style w:type="paragraph" w:styleId="BalloonText">
    <w:name w:val="Balloon Text"/>
    <w:basedOn w:val="Normal"/>
    <w:link w:val="BalloonTextChar"/>
    <w:rsid w:val="00297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DBE"/>
    <w:pPr>
      <w:spacing w:before="0" w:after="0"/>
    </w:pPr>
  </w:style>
  <w:style w:type="paragraph" w:customStyle="1" w:styleId="BodyTextBold">
    <w:name w:val="Body Text Bold"/>
    <w:basedOn w:val="BodyText"/>
    <w:qFormat/>
    <w:rsid w:val="00297DBE"/>
    <w:rPr>
      <w:b/>
    </w:rPr>
  </w:style>
  <w:style w:type="character" w:styleId="Hyperlink">
    <w:name w:val="Hyperlink"/>
    <w:basedOn w:val="DefaultParagraphFont"/>
    <w:uiPriority w:val="99"/>
    <w:unhideWhenUsed/>
    <w:rsid w:val="00124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3402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TLIB0117 Assist with preparation of a train prior to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2021-04-12T02:48:00Z</dcterms:created>
  <dcterms:modified xsi:type="dcterms:W3CDTF">2021-04-12T02:48:00Z</dcterms:modified>
</cp:coreProperties>
</file>