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739" w:rsidP="00A04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TLIB0048 Prepare a mobile crane for lift</w:t>
      </w:r>
      <w:r>
        <w:fldChar w:fldCharType="end"/>
      </w:r>
    </w:p>
    <w:p w:rsidR="00A04739" w:rsidP="00A04739">
      <w:pPr>
        <w:pStyle w:val="Version"/>
        <w:sectPr w:rsidSect="00C83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2F7" w:rsidP="00C832F7">
      <w:pPr>
        <w:pStyle w:val="SuperHeading"/>
      </w:pPr>
      <w:r w:rsidRPr="00C832F7">
        <w:t>TLIB0048 Prepare a mobile crane for lift</w:t>
      </w:r>
    </w:p>
    <w:p w:rsidR="00000000" w:rsidRPr="00C832F7" w:rsidP="00C832F7">
      <w:pPr>
        <w:pStyle w:val="Heading1"/>
      </w:pPr>
      <w:bookmarkStart w:id="1" w:name="O_1240364"/>
      <w:bookmarkEnd w:id="1"/>
      <w:r w:rsidRPr="00C832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rPr>
                <w:rStyle w:val="SpecialBold"/>
              </w:rPr>
              <w:t>Release 1</w:t>
            </w:r>
            <w:r w:rsidRPr="00C832F7">
              <w:t>. This is the first release of this unit of competency in the TLI Transport and Logistics Training Package.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2" w:name="O_1240365"/>
      <w:bookmarkEnd w:id="2"/>
      <w:r w:rsidRPr="00C832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 xml:space="preserve">This unit involves the skills and knowledge required to prepare a mobile crane for a </w:t>
            </w:r>
            <w:r w:rsidRPr="00C832F7">
              <w:t>lift.</w:t>
            </w:r>
          </w:p>
          <w:p w:rsidR="00000000" w:rsidRPr="00C832F7" w:rsidP="00C832F7">
            <w:pPr>
              <w:pStyle w:val="BodyText"/>
            </w:pPr>
            <w:r w:rsidRPr="00C832F7">
              <w:t xml:space="preserve">It includes the systematic positioning and stabilisation of the crane and its assembly prior to lift in a variety of operational contexts. </w:t>
            </w:r>
          </w:p>
          <w:p w:rsidR="00000000" w:rsidRPr="00C832F7" w:rsidP="00C832F7">
            <w:pPr>
              <w:pStyle w:val="BodyText"/>
            </w:pPr>
            <w:r w:rsidRPr="00C832F7">
              <w:t>Work is performed with limited or minimum supervision.</w:t>
            </w:r>
          </w:p>
          <w:p w:rsidR="00000000" w:rsidRPr="00C832F7" w:rsidP="00C832F7">
            <w:pPr>
              <w:pStyle w:val="BodyText"/>
            </w:pPr>
            <w:r w:rsidRPr="00C832F7">
              <w:t xml:space="preserve">People achieving competence in this unit must hold the </w:t>
            </w:r>
            <w:r w:rsidRPr="00C832F7">
              <w:t>relevant high risk work (HRW) licence prior to undertaking mobile crane operation, dogging or rigging work.</w:t>
            </w:r>
          </w:p>
          <w:p w:rsidR="00000000" w:rsidRPr="00C832F7" w:rsidP="00C832F7">
            <w:pPr>
              <w:pStyle w:val="BodyText"/>
            </w:pPr>
            <w:r w:rsidRPr="00C832F7">
              <w:t>Work must be carried out in compliance with the relevant state/territory authority mobile crane operations licence/permit requirements and regulatio</w:t>
            </w:r>
            <w:r w:rsidRPr="00C832F7">
              <w:t>ns, codes of practice, rules and/or guidelines.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3" w:name="O_1240366"/>
      <w:bookmarkEnd w:id="3"/>
      <w:r w:rsidRPr="00C832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>Not applicable.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4" w:name="O_1240367"/>
      <w:bookmarkEnd w:id="4"/>
      <w:r w:rsidRPr="00C832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>B – Equipment Checking and Maintenance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5" w:name="O_1240368"/>
      <w:bookmarkEnd w:id="5"/>
      <w:r w:rsidRPr="00C832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>Mobile Crane.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6" w:name="O_1240369"/>
      <w:bookmarkEnd w:id="6"/>
      <w:r w:rsidRPr="00C832F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69"/>
        <w:gridCol w:w="2189"/>
        <w:gridCol w:w="1609"/>
        <w:gridCol w:w="4830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rPr>
                <w:rStyle w:val="SpecialBold"/>
              </w:rPr>
              <w:t>ELEMENTS</w:t>
            </w:r>
          </w:p>
        </w:tc>
        <w:tc>
          <w:tcPr>
            <w:tcW w:w="6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PERFORMANCE CRITERIA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Elements describe the essential outcomes.</w:t>
            </w:r>
          </w:p>
        </w:tc>
        <w:tc>
          <w:tcPr>
            <w:tcW w:w="6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Performance criteria describe the performance needed to demonstrate achievement of the element.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rPr>
                <w:rStyle w:val="SpecialBold"/>
              </w:rPr>
              <w:t>1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rPr>
                <w:rStyle w:val="SpecialBold"/>
              </w:rPr>
              <w:t>Position and stabilise crane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1.1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Ground is checked to ensure it is firm enough to bear the load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1.2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Mobile crane is directed to position systematically in accordance with operation plan, applicable Australian Standards, codes of practice and manufacturer specifications to ensure safe o</w:t>
            </w:r>
            <w:r w:rsidRPr="00C832F7">
              <w:t xml:space="preserve">peration 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1.3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Appropriate plates or packing are correctly used to adequately distribute load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1.4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 xml:space="preserve">Outriggers and stabilisers are correctly deployed and positioned in accordance with manufacturer instructions, appropriate Australian Standard </w:t>
            </w:r>
            <w:r w:rsidRPr="00C832F7">
              <w:t>and other relevant statutory regulations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1.5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Outrigger packing is checked for adequacy prior to and after lift is taken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rPr>
                <w:rStyle w:val="SpecialBold"/>
              </w:rPr>
              <w:t>2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rPr>
                <w:rStyle w:val="SpecialBold"/>
              </w:rPr>
              <w:t>Confirm crane for lift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2.1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Reeving of the block is confirmed with a competent person and in accordance with manufacturer specifica</w:t>
            </w:r>
            <w:r w:rsidRPr="00C832F7">
              <w:t>tions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2.2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Counterweights are confirmed in accordance with manufacturer specifications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2.3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Attachments are confirmed in accordance with manufacturer instructions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2.4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t>Competent person is consulted and other personnel are assisted as necessary to ensure efficient and safe assembly and set-up of crane</w:t>
            </w:r>
          </w:p>
        </w:tc>
      </w:tr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>
            <w:pPr>
              <w:pStyle w:val="BodyText"/>
              <w:keepLines w:val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2F7">
            <w:pPr>
              <w:pStyle w:val="BodyText"/>
              <w:rPr>
                <w:lang w:val="en-NZ"/>
              </w:rPr>
            </w:pPr>
            <w:r w:rsidRPr="00C832F7">
              <w:rPr>
                <w:rStyle w:val="SpecialBold"/>
              </w:rPr>
              <w:t>2.5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>Straight fly jibs and luffing fly jibs are confirmed in accordance with manufacturer instructions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7" w:name="O_1240370"/>
      <w:bookmarkEnd w:id="7"/>
      <w:r w:rsidRPr="00C832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>Foundation skills essential to performance are explicit in the performance criteria of this unit of competency.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8" w:name="O_1240371"/>
      <w:bookmarkEnd w:id="8"/>
      <w:r w:rsidRPr="00C832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>Range is restricted to essential operating conditions and any other variables essential to the work environment.</w:t>
            </w:r>
          </w:p>
          <w:p w:rsidR="00000000" w:rsidRPr="00C832F7" w:rsidP="00C832F7">
            <w:pPr>
              <w:pStyle w:val="BodyText"/>
            </w:pPr>
            <w:r w:rsidRPr="00C832F7">
              <w:t>Non-essential conditions can be found in the TLI Transport and Logistics Training Package Companion Volume Implementation Guide.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9" w:name="O_1240372"/>
      <w:bookmarkEnd w:id="9"/>
      <w:r w:rsidRPr="00C832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2F7" w:rsidP="00C832F7">
            <w:pPr>
              <w:pStyle w:val="BodyText"/>
            </w:pPr>
            <w:r w:rsidRPr="00C832F7">
              <w:t>This unit replaces but is not equivalent to TLIB3011 Set up and rig crane for lift.</w:t>
            </w:r>
          </w:p>
        </w:tc>
      </w:tr>
    </w:tbl>
    <w:p w:rsidR="00000000" w:rsidRPr="00C832F7" w:rsidP="00C832F7">
      <w:pPr>
        <w:pStyle w:val="NoPaddingFontSize1"/>
      </w:pPr>
    </w:p>
    <w:p w:rsidR="00000000" w:rsidRPr="00C832F7" w:rsidP="00C832F7">
      <w:pPr>
        <w:pStyle w:val="AllowPageBreak"/>
      </w:pPr>
    </w:p>
    <w:p w:rsidR="00000000" w:rsidRPr="00C832F7" w:rsidP="00C832F7">
      <w:pPr>
        <w:pStyle w:val="Heading1"/>
      </w:pPr>
      <w:bookmarkStart w:id="10" w:name="O_1240379"/>
      <w:bookmarkEnd w:id="10"/>
      <w:r w:rsidRPr="00C832F7">
        <w:t>Links</w:t>
      </w:r>
    </w:p>
    <w:p w:rsidR="00000000" w:rsidRPr="00C832F7" w:rsidP="00A04739">
      <w:pPr>
        <w:pStyle w:val="BodyText"/>
      </w:pPr>
      <w:r w:rsidRPr="00C832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4C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832F7" w:rsidP="00C832F7"/>
    <w:sectPr w:rsidSect="00C83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7" w:rsidRPr="00A04739" w:rsidP="00A04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39" w:rsidP="00C83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739" w:rsidP="00C83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04739" w:rsidP="00C83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2F7" w:rsidRPr="00A04739" w:rsidP="00A04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39" w:rsidRPr="002D2AF8" w:rsidP="00C83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TLIB0048 Prepare a mobile crane for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04739" w:rsidP="00C83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2F7"/>
  </w:style>
  <w:style w:type="character" w:customStyle="1" w:styleId="Heading1Char">
    <w:name w:val="Heading 1 Char"/>
    <w:basedOn w:val="DefaultParagraphFont"/>
    <w:link w:val="Heading1"/>
    <w:rsid w:val="00C83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2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32F7"/>
    <w:rPr>
      <w:b/>
      <w:spacing w:val="0"/>
    </w:rPr>
  </w:style>
  <w:style w:type="paragraph" w:customStyle="1" w:styleId="SuperHeading">
    <w:name w:val="SuperHeading"/>
    <w:basedOn w:val="Normal"/>
    <w:rsid w:val="00C83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3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2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2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3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2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2F7"/>
    <w:rPr>
      <w:i/>
    </w:rPr>
  </w:style>
  <w:style w:type="paragraph" w:styleId="Caption">
    <w:name w:val="caption"/>
    <w:basedOn w:val="BodyText"/>
    <w:next w:val="Normal"/>
    <w:qFormat/>
    <w:rsid w:val="00C83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2F7"/>
  </w:style>
  <w:style w:type="paragraph" w:styleId="TableofFigures">
    <w:name w:val="table of figures"/>
    <w:basedOn w:val="Normal"/>
    <w:next w:val="Normal"/>
    <w:semiHidden/>
    <w:rsid w:val="00C83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2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32F7"/>
    <w:rPr>
      <w:rFonts w:ascii="Wingdings" w:hAnsi="Wingdings"/>
    </w:rPr>
  </w:style>
  <w:style w:type="paragraph" w:customStyle="1" w:styleId="TableHeading">
    <w:name w:val="Table Heading"/>
    <w:basedOn w:val="HeadingBase"/>
    <w:rsid w:val="00C83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2F7"/>
    <w:rPr>
      <w:color w:val="0033CC"/>
      <w:u w:val="none"/>
    </w:rPr>
  </w:style>
  <w:style w:type="paragraph" w:customStyle="1" w:styleId="BodyTextRight">
    <w:name w:val="Body Text Right"/>
    <w:basedOn w:val="BodyText"/>
    <w:rsid w:val="00C83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2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2F7"/>
    <w:rPr>
      <w:sz w:val="32"/>
    </w:rPr>
  </w:style>
  <w:style w:type="paragraph" w:customStyle="1" w:styleId="HeadingProcedure">
    <w:name w:val="Heading Procedure"/>
    <w:basedOn w:val="HeadingBase"/>
    <w:next w:val="Normal"/>
    <w:rsid w:val="00C83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2F7"/>
    <w:pPr>
      <w:spacing w:before="60" w:after="60"/>
    </w:pPr>
  </w:style>
  <w:style w:type="paragraph" w:styleId="ListContinue">
    <w:name w:val="List Continue"/>
    <w:basedOn w:val="List"/>
    <w:rsid w:val="00C832F7"/>
    <w:pPr>
      <w:ind w:firstLine="0"/>
    </w:pPr>
  </w:style>
  <w:style w:type="paragraph" w:customStyle="1" w:styleId="ListNote">
    <w:name w:val="List Note"/>
    <w:basedOn w:val="List"/>
    <w:rsid w:val="00C83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2F7"/>
    <w:rPr>
      <w:rFonts w:ascii="Courier New" w:hAnsi="Courier New"/>
    </w:rPr>
  </w:style>
  <w:style w:type="paragraph" w:customStyle="1" w:styleId="NoteBullet">
    <w:name w:val="Note Bullet"/>
    <w:basedOn w:val="Note"/>
    <w:rsid w:val="00C83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2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3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2F7"/>
    <w:rPr>
      <w:b/>
      <w:smallCaps/>
    </w:rPr>
  </w:style>
  <w:style w:type="paragraph" w:customStyle="1" w:styleId="TableListNumber">
    <w:name w:val="Table List Number"/>
    <w:basedOn w:val="ListNumber"/>
    <w:rsid w:val="00C83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2F7"/>
    <w:pPr>
      <w:numPr>
        <w:numId w:val="7"/>
      </w:numPr>
    </w:pPr>
  </w:style>
  <w:style w:type="paragraph" w:customStyle="1" w:styleId="ListAlpha2">
    <w:name w:val="List Alpha 2"/>
    <w:basedOn w:val="List2"/>
    <w:rsid w:val="00C832F7"/>
    <w:pPr>
      <w:numPr>
        <w:numId w:val="6"/>
      </w:numPr>
    </w:pPr>
  </w:style>
  <w:style w:type="paragraph" w:styleId="List2">
    <w:name w:val="List 2"/>
    <w:basedOn w:val="BodyText"/>
    <w:rsid w:val="00C83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2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2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32F7"/>
    <w:pPr>
      <w:numPr>
        <w:numId w:val="2"/>
      </w:numPr>
    </w:pPr>
  </w:style>
  <w:style w:type="paragraph" w:styleId="ListContinue2">
    <w:name w:val="List Continue 2"/>
    <w:basedOn w:val="List2"/>
    <w:rsid w:val="00C832F7"/>
    <w:pPr>
      <w:ind w:firstLine="0"/>
    </w:pPr>
  </w:style>
  <w:style w:type="paragraph" w:styleId="ListContinue3">
    <w:name w:val="List Continue 3"/>
    <w:basedOn w:val="List3"/>
    <w:rsid w:val="00C832F7"/>
    <w:pPr>
      <w:ind w:left="1021" w:firstLine="0"/>
    </w:pPr>
  </w:style>
  <w:style w:type="paragraph" w:styleId="ListContinue4">
    <w:name w:val="List Continue 4"/>
    <w:basedOn w:val="List4"/>
    <w:rsid w:val="00C832F7"/>
    <w:pPr>
      <w:ind w:firstLine="0"/>
    </w:pPr>
  </w:style>
  <w:style w:type="paragraph" w:styleId="ListContinue5">
    <w:name w:val="List Continue 5"/>
    <w:basedOn w:val="List5"/>
    <w:rsid w:val="00C832F7"/>
    <w:pPr>
      <w:ind w:firstLine="0"/>
    </w:pPr>
  </w:style>
  <w:style w:type="paragraph" w:styleId="ListNumber3">
    <w:name w:val="List Number 3"/>
    <w:basedOn w:val="List3"/>
    <w:rsid w:val="00C832F7"/>
    <w:pPr>
      <w:numPr>
        <w:numId w:val="3"/>
      </w:numPr>
    </w:pPr>
  </w:style>
  <w:style w:type="paragraph" w:styleId="ListNumber4">
    <w:name w:val="List Number 4"/>
    <w:basedOn w:val="List4"/>
    <w:rsid w:val="00C832F7"/>
    <w:pPr>
      <w:numPr>
        <w:numId w:val="4"/>
      </w:numPr>
    </w:pPr>
  </w:style>
  <w:style w:type="paragraph" w:styleId="ListNumber5">
    <w:name w:val="List Number 5"/>
    <w:basedOn w:val="List5"/>
    <w:rsid w:val="00C832F7"/>
    <w:pPr>
      <w:numPr>
        <w:numId w:val="5"/>
      </w:numPr>
    </w:pPr>
  </w:style>
  <w:style w:type="paragraph" w:styleId="BlockText">
    <w:name w:val="Block Text"/>
    <w:basedOn w:val="Normal"/>
    <w:rsid w:val="00C83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2F7"/>
    <w:rPr>
      <w:sz w:val="16"/>
      <w:vertAlign w:val="superscript"/>
    </w:rPr>
  </w:style>
  <w:style w:type="character" w:customStyle="1" w:styleId="Symbols">
    <w:name w:val="Symbols"/>
    <w:basedOn w:val="DefaultParagraphFont"/>
    <w:rsid w:val="00C832F7"/>
    <w:rPr>
      <w:rFonts w:ascii="Symbol" w:hAnsi="Symbol"/>
    </w:rPr>
  </w:style>
  <w:style w:type="character" w:customStyle="1" w:styleId="MenuOptions">
    <w:name w:val="Menu Options"/>
    <w:basedOn w:val="DefaultParagraphFont"/>
    <w:rsid w:val="00C83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2F7"/>
    <w:rPr>
      <w:b/>
    </w:rPr>
  </w:style>
  <w:style w:type="character" w:customStyle="1" w:styleId="Underlined">
    <w:name w:val="Underlined"/>
    <w:basedOn w:val="DefaultParagraphFont"/>
    <w:rsid w:val="00C832F7"/>
    <w:rPr>
      <w:u w:val="single"/>
    </w:rPr>
  </w:style>
  <w:style w:type="paragraph" w:customStyle="1" w:styleId="TableBodyTextRight">
    <w:name w:val="Table Body Text Right"/>
    <w:basedOn w:val="TableBodyText"/>
    <w:rsid w:val="00C83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2F7"/>
    <w:rPr>
      <w:sz w:val="18"/>
    </w:rPr>
  </w:style>
  <w:style w:type="paragraph" w:customStyle="1" w:styleId="BodySmallRight">
    <w:name w:val="Body Small Right"/>
    <w:basedOn w:val="BodyTextRight"/>
    <w:rsid w:val="00C832F7"/>
    <w:rPr>
      <w:sz w:val="18"/>
      <w:szCs w:val="18"/>
    </w:rPr>
  </w:style>
  <w:style w:type="paragraph" w:customStyle="1" w:styleId="MarginEdition">
    <w:name w:val="Margin Edition"/>
    <w:basedOn w:val="MarginNote"/>
    <w:rsid w:val="00C83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2F7"/>
    <w:rPr>
      <w:sz w:val="2"/>
      <w:szCs w:val="2"/>
    </w:rPr>
  </w:style>
  <w:style w:type="character" w:customStyle="1" w:styleId="Small">
    <w:name w:val="Small"/>
    <w:basedOn w:val="DefaultParagraphFont"/>
    <w:rsid w:val="00C832F7"/>
    <w:rPr>
      <w:sz w:val="16"/>
    </w:rPr>
  </w:style>
  <w:style w:type="paragraph" w:customStyle="1" w:styleId="WideTable">
    <w:name w:val="Wide Table"/>
    <w:basedOn w:val="Normal"/>
    <w:rsid w:val="00C83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2F7"/>
  </w:style>
  <w:style w:type="paragraph" w:styleId="Quote">
    <w:name w:val="Quote"/>
    <w:basedOn w:val="Heading1"/>
    <w:link w:val="QuoteChar"/>
    <w:qFormat/>
    <w:rsid w:val="00C83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2F7"/>
    <w:pPr>
      <w:pageBreakBefore/>
    </w:pPr>
  </w:style>
  <w:style w:type="paragraph" w:customStyle="1" w:styleId="Border">
    <w:name w:val="Border"/>
    <w:basedOn w:val="Normal"/>
    <w:qFormat/>
    <w:rsid w:val="00C83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2F7"/>
    <w:rPr>
      <w:u w:val="single"/>
    </w:rPr>
  </w:style>
  <w:style w:type="character" w:customStyle="1" w:styleId="BoldandItalics">
    <w:name w:val="Bold and Italics"/>
    <w:qFormat/>
    <w:rsid w:val="00C832F7"/>
    <w:rPr>
      <w:b/>
      <w:i/>
      <w:u w:val="none"/>
    </w:rPr>
  </w:style>
  <w:style w:type="paragraph" w:styleId="BalloonText">
    <w:name w:val="Balloon Text"/>
    <w:basedOn w:val="Normal"/>
    <w:link w:val="BalloonTextChar"/>
    <w:rsid w:val="00C83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2F7"/>
    <w:pPr>
      <w:spacing w:before="0" w:after="0"/>
    </w:pPr>
  </w:style>
  <w:style w:type="paragraph" w:customStyle="1" w:styleId="BodyTextBold">
    <w:name w:val="Body Text Bold"/>
    <w:basedOn w:val="BodyText"/>
    <w:qFormat/>
    <w:rsid w:val="00C832F7"/>
    <w:rPr>
      <w:b/>
    </w:rPr>
  </w:style>
  <w:style w:type="character" w:styleId="Hyperlink">
    <w:name w:val="Hyperlink"/>
    <w:basedOn w:val="DefaultParagraphFont"/>
    <w:uiPriority w:val="99"/>
    <w:unhideWhenUsed/>
    <w:rsid w:val="00A04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2806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TLIB0048 Prepare a mobile crane for 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