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E5E" w:rsidP="00332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TLIB0048 Prepare a mobile crane for lift</w:t>
      </w:r>
      <w:r>
        <w:fldChar w:fldCharType="end"/>
      </w:r>
    </w:p>
    <w:p w:rsidR="00332E5E" w:rsidP="00332E5E">
      <w:pPr>
        <w:pStyle w:val="Version"/>
        <w:sectPr w:rsidSect="002E3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03E" w:rsidP="002E303E">
      <w:pPr>
        <w:pStyle w:val="SuperHeading"/>
      </w:pPr>
      <w:r w:rsidRPr="002E303E">
        <w:t>TLIB0048 Prepare a mobile crane for lift</w:t>
      </w:r>
    </w:p>
    <w:p w:rsidR="00000000" w:rsidRPr="002E303E" w:rsidP="002E303E">
      <w:pPr>
        <w:pStyle w:val="Heading1"/>
      </w:pPr>
      <w:bookmarkStart w:id="1" w:name="O_1240364"/>
      <w:bookmarkEnd w:id="1"/>
      <w:r w:rsidRPr="002E30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Release 1</w:t>
            </w:r>
            <w:r w:rsidRPr="002E303E">
              <w:t>. This is the first release of this unit of competency in the TLI Transport and Logistics Training Package.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2" w:name="O_1240365"/>
      <w:bookmarkEnd w:id="2"/>
      <w:r w:rsidRPr="002E30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 xml:space="preserve">This unit involves the skills and knowledge required to prepare a mobile crane for a </w:t>
            </w:r>
            <w:r w:rsidRPr="002E303E">
              <w:t>lift.</w:t>
            </w:r>
          </w:p>
          <w:p w:rsidR="00000000" w:rsidRPr="002E303E" w:rsidP="002E303E">
            <w:pPr>
              <w:pStyle w:val="BodyText"/>
            </w:pPr>
            <w:r w:rsidRPr="002E303E">
              <w:t xml:space="preserve">It includes the systematic positioning and stabilisation of the crane and its assembly prior to lift in a variety of operational contexts. </w:t>
            </w:r>
          </w:p>
          <w:p w:rsidR="00000000" w:rsidRPr="002E303E" w:rsidP="002E303E">
            <w:pPr>
              <w:pStyle w:val="BodyText"/>
            </w:pPr>
            <w:r w:rsidRPr="002E303E">
              <w:t>Work is performed with limited or minimum supervision.</w:t>
            </w:r>
          </w:p>
          <w:p w:rsidR="00000000" w:rsidRPr="002E303E" w:rsidP="002E303E">
            <w:pPr>
              <w:pStyle w:val="BodyText"/>
            </w:pPr>
            <w:r w:rsidRPr="002E303E">
              <w:t xml:space="preserve">People achieving competence in this unit must hold the </w:t>
            </w:r>
            <w:r w:rsidRPr="002E303E">
              <w:t>relevant high risk work (HRW) licence prior to undertaking mobile crane operation, dogging or rigging work.</w:t>
            </w:r>
          </w:p>
          <w:p w:rsidR="00000000" w:rsidRPr="002E303E" w:rsidP="002E303E">
            <w:pPr>
              <w:pStyle w:val="BodyText"/>
            </w:pPr>
            <w:r w:rsidRPr="002E303E">
              <w:t>Work must be carried out in compliance with the relevant state/territory authority mobile crane operations licence/permit requirements and regulatio</w:t>
            </w:r>
            <w:r w:rsidRPr="002E303E">
              <w:t>ns, codes of practice, rules and/or guidelines.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3" w:name="O_1240366"/>
      <w:bookmarkEnd w:id="3"/>
      <w:r w:rsidRPr="002E30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Not applicable.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4" w:name="O_1240367"/>
      <w:bookmarkEnd w:id="4"/>
      <w:r w:rsidRPr="002E30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B – Equipment Checking and Maintenance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5" w:name="O_1240368"/>
      <w:bookmarkEnd w:id="5"/>
      <w:r w:rsidRPr="002E30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Mobile Crane.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6" w:name="O_1240369"/>
      <w:bookmarkEnd w:id="6"/>
      <w:r w:rsidRPr="002E30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69"/>
        <w:gridCol w:w="2189"/>
        <w:gridCol w:w="1609"/>
        <w:gridCol w:w="4830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ELEMENTS</w:t>
            </w:r>
          </w:p>
        </w:tc>
        <w:tc>
          <w:tcPr>
            <w:tcW w:w="6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PERFORMANCE CRITERIA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Elements describe the essential outcomes.</w:t>
            </w:r>
          </w:p>
        </w:tc>
        <w:tc>
          <w:tcPr>
            <w:tcW w:w="6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Performance criteria describe the performance needed to demonstrate achievement of the element.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1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Position and stabilise crane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1.1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Ground is checked to ensure it is firm enough to bear the load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1.2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Mobile crane is directed to position systematically in accordance with operation plan, applicable Australian Standards, codes of practice and manufacturer specifications to ensure safe o</w:t>
            </w:r>
            <w:r w:rsidRPr="002E303E">
              <w:t xml:space="preserve">peration 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1.3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Appropriate plates or packing are correctly used to adequately distribute load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1.4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Outriggers and stabilisers are correctly deployed and positioned in accordance with manufacturer instructions, appropriate Australian Standard and other relevant statutory regulations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1.5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Outrigger packing is checked for adequacy prior to and after lift</w:t>
            </w:r>
            <w:r w:rsidRPr="002E303E">
              <w:t xml:space="preserve"> is taken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Confirm crane for lift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2.1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Reeving of the block is confirmed with a competent person and in accordance with manufacturer specifications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2.2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Counterweights are confirmed in accordance with manufacturer specifications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2.3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Attachments are confirmed in accordance with manufacturer instructions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2.4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Competent person is consulted and other personnel are assisted as necessary to ensure efficient and safe assembly and set-up of crane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>
            <w:pPr>
              <w:pStyle w:val="BodyText"/>
              <w:keepLines w:val="0"/>
              <w:spacing w:before="0" w:after="0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rPr>
                <w:rStyle w:val="SpecialBold"/>
              </w:rPr>
              <w:t>2.5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Straight fly jibs and luffing fly jib</w:t>
            </w:r>
            <w:r w:rsidRPr="002E303E">
              <w:t>s are confirmed in accordance with manufacturer instructions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7" w:name="O_1240370"/>
      <w:bookmarkEnd w:id="7"/>
      <w:r w:rsidRPr="002E30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Foundation skills essential to performance are explicit in the performance criteria of this unit of competency.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8" w:name="O_1240371"/>
      <w:bookmarkEnd w:id="8"/>
      <w:r w:rsidRPr="002E30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Range is restricted to essential operating conditions and any other variables essential to the work environment.</w:t>
            </w:r>
          </w:p>
          <w:p w:rsidR="00000000" w:rsidRPr="002E303E" w:rsidP="002E303E">
            <w:pPr>
              <w:pStyle w:val="BodyText"/>
            </w:pPr>
            <w:r w:rsidRPr="002E303E">
              <w:t>Non-essential conditions can be found in the TLI Transport and Logistics Training Package Companion Volume Implementation Guide.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9" w:name="O_1240372"/>
      <w:bookmarkEnd w:id="9"/>
      <w:r w:rsidRPr="002E30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This unit replaces but is not equivalent to TLIB3011 Set up and rig crane for lift.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10" w:name="O_1240379"/>
      <w:bookmarkEnd w:id="10"/>
      <w:r w:rsidRPr="002E303E">
        <w:t>Links</w:t>
      </w:r>
    </w:p>
    <w:p w:rsidR="00000000" w:rsidRPr="002E303E" w:rsidP="00332E5E">
      <w:pPr>
        <w:pStyle w:val="BodyText"/>
      </w:pPr>
      <w:r w:rsidRPr="002E3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04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303E" w:rsidP="00332E5E">
      <w:pPr>
        <w:pStyle w:val="BodyText"/>
        <w:sectPr w:rsidSect="002E3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03E" w:rsidP="002E303E">
      <w:pPr>
        <w:pStyle w:val="SuperHeading"/>
      </w:pPr>
      <w:r w:rsidRPr="002E303E">
        <w:t>Assessment Requirements for TLIB0048 Prepare a mobile crane for lift</w:t>
      </w:r>
    </w:p>
    <w:p w:rsidR="00000000" w:rsidRPr="002E303E" w:rsidP="002E303E">
      <w:pPr>
        <w:pStyle w:val="Heading1"/>
      </w:pPr>
      <w:bookmarkStart w:id="11" w:name="O_1240374"/>
      <w:bookmarkEnd w:id="11"/>
      <w:r w:rsidRPr="002E30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rPr>
                <w:rStyle w:val="SpecialBold"/>
              </w:rPr>
              <w:t>Release 1</w:t>
            </w:r>
            <w:r w:rsidRPr="002E303E">
              <w:t>. This is the first release of this unit of competency in the TLI Transport and Logistics Training Package.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12" w:name="O_1240375"/>
      <w:bookmarkEnd w:id="12"/>
      <w:r w:rsidRPr="002E30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Evidence required to demonstrate competence in this unit must be relevant to and satisfy all of the requir</w:t>
            </w:r>
            <w:r w:rsidRPr="002E303E">
              <w:t>ements of the elements and performance criteria on at least one occasion and include: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ListBullet"/>
            </w:pPr>
            <w:r w:rsidRPr="002E303E">
              <w:t xml:space="preserve">applying precautions and required actions to minimise, control or eliminate identified risk </w:t>
            </w:r>
          </w:p>
          <w:p w:rsidR="00000000" w:rsidRPr="002E303E" w:rsidP="002E303E">
            <w:pPr>
              <w:pStyle w:val="ListBullet"/>
            </w:pPr>
            <w:r w:rsidRPr="002E303E">
              <w:t>applying specific crane state/territory legislation and workplace procedure</w:t>
            </w:r>
            <w:r w:rsidRPr="002E303E">
              <w:t xml:space="preserve">s </w:t>
            </w:r>
          </w:p>
          <w:p w:rsidR="00000000" w:rsidRPr="002E303E" w:rsidP="002E303E">
            <w:pPr>
              <w:pStyle w:val="ListBullet"/>
            </w:pPr>
            <w:r w:rsidRPr="002E303E">
              <w:t xml:space="preserve">communicating effectively and working collaboratively with others </w:t>
            </w:r>
          </w:p>
          <w:p w:rsidR="00000000" w:rsidRPr="002E303E" w:rsidP="002E303E">
            <w:pPr>
              <w:pStyle w:val="ListBullet"/>
            </w:pPr>
            <w:r w:rsidRPr="002E303E">
              <w:t xml:space="preserve">completing relevant documentation </w:t>
            </w:r>
          </w:p>
          <w:p w:rsidR="00000000" w:rsidRPr="002E303E" w:rsidP="002E303E">
            <w:pPr>
              <w:pStyle w:val="ListBullet"/>
            </w:pPr>
            <w:r w:rsidRPr="002E303E">
              <w:t>confirming correct fitting fly jibs and attachments in accordance with workplace procedures</w:t>
            </w:r>
          </w:p>
          <w:p w:rsidR="00000000" w:rsidRPr="002E303E" w:rsidP="002E303E">
            <w:pPr>
              <w:pStyle w:val="ListBullet"/>
            </w:pPr>
            <w:r w:rsidRPr="002E303E">
              <w:t>interpreting and following operational instructions and prioritising work</w:t>
            </w:r>
          </w:p>
          <w:p w:rsidR="00000000" w:rsidRPr="002E303E" w:rsidP="002E303E">
            <w:pPr>
              <w:pStyle w:val="ListBullet"/>
            </w:pPr>
            <w:r w:rsidRPr="002E303E">
              <w:t>monitoring condition of equipment</w:t>
            </w:r>
          </w:p>
          <w:p w:rsidR="00000000" w:rsidRPr="002E303E" w:rsidP="002E303E">
            <w:pPr>
              <w:pStyle w:val="ListBullet"/>
            </w:pPr>
            <w:r w:rsidRPr="002E303E">
              <w:t>monitoring work activities in terms of operation planned schedule and modifying activities depending on operational contingencies, hazardous situati</w:t>
            </w:r>
            <w:r w:rsidRPr="002E303E">
              <w:t>ons and environments</w:t>
            </w:r>
          </w:p>
          <w:p w:rsidR="00000000" w:rsidRPr="002E303E" w:rsidP="002E303E">
            <w:pPr>
              <w:pStyle w:val="ListBullet"/>
            </w:pPr>
            <w:r w:rsidRPr="002E303E">
              <w:t>operating and adapting to differences in equipment in accordance with workplace procedures</w:t>
            </w:r>
          </w:p>
          <w:p w:rsidR="00000000" w:rsidRPr="002E303E" w:rsidP="002E303E">
            <w:pPr>
              <w:pStyle w:val="ListBullet"/>
            </w:pPr>
            <w:r w:rsidRPr="002E303E">
              <w:t>positioning mobile crane systematically in accordance with workplace procedures</w:t>
            </w:r>
          </w:p>
          <w:p w:rsidR="00000000" w:rsidRPr="002E303E" w:rsidP="002E303E">
            <w:pPr>
              <w:pStyle w:val="ListBullet"/>
            </w:pPr>
            <w:r w:rsidRPr="002E303E">
              <w:t>reading, interpreting and following relevant instructions, workp</w:t>
            </w:r>
            <w:r w:rsidRPr="002E303E">
              <w:t xml:space="preserve">lace procedures, information and signs </w:t>
            </w:r>
          </w:p>
          <w:p w:rsidR="00000000" w:rsidRPr="002E303E" w:rsidP="002E303E">
            <w:pPr>
              <w:pStyle w:val="ListBullet"/>
            </w:pPr>
            <w:r w:rsidRPr="002E303E">
              <w:t>reporting and/or rectifying identified problems, faults or malfunctions promptly in accordance with regulatory requirements and workplace procedures</w:t>
            </w:r>
          </w:p>
          <w:p w:rsidR="00000000" w:rsidRPr="002E303E" w:rsidP="002E303E">
            <w:pPr>
              <w:pStyle w:val="ListBullet"/>
            </w:pPr>
            <w:r w:rsidRPr="002E303E">
              <w:t>selecting and using appropriate personal protective equipment (PPE)</w:t>
            </w:r>
            <w:r w:rsidRPr="002E303E">
              <w:t xml:space="preserve"> conforming to industry and work health and safety (WHS)/occupational health and safety (OHS) standards</w:t>
            </w:r>
          </w:p>
          <w:p w:rsidR="00000000" w:rsidRPr="002E303E" w:rsidP="002E303E">
            <w:pPr>
              <w:pStyle w:val="ListBullet"/>
            </w:pPr>
            <w:r w:rsidRPr="002E303E">
              <w:t>working systematically with required attention to detail without injury to self or others, or damage to goods or equipment.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13" w:name="O_1240376"/>
      <w:bookmarkEnd w:id="13"/>
      <w:r w:rsidRPr="002E303E">
        <w:t>Knowled</w:t>
      </w:r>
      <w:r w:rsidRPr="002E303E">
        <w:t>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3E">
            <w:pPr>
              <w:pStyle w:val="BodyText"/>
              <w:rPr>
                <w:lang w:val="en-NZ"/>
              </w:rPr>
            </w:pPr>
            <w:r w:rsidRPr="002E303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ListBullet"/>
            </w:pPr>
            <w:r w:rsidRPr="002E303E">
              <w:t>risk management strategies consistent with the principle of hierarchy of risk control, including elimination, substitution, isolation and engineering control measures being selected before safe working practices and PPE</w:t>
            </w:r>
          </w:p>
          <w:p w:rsidR="00000000" w:rsidRPr="002E303E" w:rsidP="002E303E">
            <w:pPr>
              <w:pStyle w:val="ListBullet"/>
            </w:pPr>
            <w:r w:rsidRPr="002E303E">
              <w:t>mobile crane applications, capacitie</w:t>
            </w:r>
            <w:r w:rsidRPr="002E303E">
              <w:t>s, configurations, hazards and control mechanisms</w:t>
            </w:r>
          </w:p>
          <w:p w:rsidR="00000000" w:rsidRPr="002E303E" w:rsidP="002E303E">
            <w:pPr>
              <w:pStyle w:val="ListBullet"/>
            </w:pPr>
            <w:r w:rsidRPr="002E303E">
              <w:t>operational work systems and equipment</w:t>
            </w:r>
          </w:p>
          <w:p w:rsidR="00000000" w:rsidRPr="002E303E" w:rsidP="002E303E">
            <w:pPr>
              <w:pStyle w:val="ListBullet"/>
            </w:pPr>
            <w:r w:rsidRPr="002E303E">
              <w:t>procedures for:</w:t>
            </w:r>
          </w:p>
          <w:p w:rsidR="00000000" w:rsidRPr="002E303E" w:rsidP="002E303E">
            <w:pPr>
              <w:pStyle w:val="ListBullet2"/>
            </w:pPr>
            <w:r w:rsidRPr="002E303E">
              <w:t>crane crews</w:t>
            </w:r>
          </w:p>
          <w:p w:rsidR="00000000" w:rsidRPr="002E303E" w:rsidP="002E303E">
            <w:pPr>
              <w:pStyle w:val="ListBullet2"/>
            </w:pPr>
            <w:r w:rsidRPr="002E303E">
              <w:t>fitting attachments and fly jibs</w:t>
            </w:r>
          </w:p>
          <w:p w:rsidR="00000000" w:rsidRPr="002E303E" w:rsidP="002E303E">
            <w:pPr>
              <w:pStyle w:val="ListBullet2"/>
            </w:pPr>
            <w:r w:rsidRPr="002E303E">
              <w:t>identifying and correctly using equipment, processes and procedures</w:t>
            </w:r>
          </w:p>
          <w:p w:rsidR="00000000" w:rsidRPr="002E303E" w:rsidP="002E303E">
            <w:pPr>
              <w:pStyle w:val="ListBullet2"/>
            </w:pPr>
            <w:r w:rsidRPr="002E303E">
              <w:t>setting up a mobile crane at a worksite</w:t>
            </w:r>
          </w:p>
          <w:p w:rsidR="00000000" w:rsidRPr="002E303E" w:rsidP="002E303E">
            <w:pPr>
              <w:pStyle w:val="ListBullet2"/>
            </w:pPr>
            <w:r w:rsidRPr="002E303E">
              <w:t>systematic positioning of mobile crane</w:t>
            </w:r>
          </w:p>
          <w:p w:rsidR="00000000" w:rsidRPr="002E303E" w:rsidP="002E303E">
            <w:pPr>
              <w:pStyle w:val="ListBullet2"/>
            </w:pPr>
            <w:r w:rsidRPr="002E303E">
              <w:t>stabilisation of mobile crane</w:t>
            </w:r>
          </w:p>
          <w:p w:rsidR="00000000" w:rsidRPr="002E303E" w:rsidP="002E303E">
            <w:pPr>
              <w:pStyle w:val="ListBullet"/>
            </w:pPr>
            <w:r w:rsidRPr="002E303E">
              <w:t xml:space="preserve">relevant guidelines, codes of practice or other legislative requirements </w:t>
            </w:r>
          </w:p>
          <w:p w:rsidR="00000000" w:rsidRPr="002E303E" w:rsidP="002E303E">
            <w:pPr>
              <w:pStyle w:val="ListBullet"/>
            </w:pPr>
            <w:r w:rsidRPr="002E303E">
              <w:t>relevant regulations, permit and licence requirements for mobile crane o</w:t>
            </w:r>
            <w:r w:rsidRPr="002E303E">
              <w:t>perations and rigging mobile cranes</w:t>
            </w:r>
          </w:p>
          <w:p w:rsidR="00000000" w:rsidRPr="002E303E" w:rsidP="002E303E">
            <w:pPr>
              <w:pStyle w:val="ListBullet"/>
            </w:pPr>
            <w:r w:rsidRPr="002E303E">
              <w:t xml:space="preserve">relevant WHS/OHS and environmental procedures and regulations. 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14" w:name="O_1240377"/>
      <w:bookmarkEnd w:id="14"/>
      <w:r w:rsidRPr="002E30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3E" w:rsidP="002E303E">
            <w:pPr>
              <w:pStyle w:val="BodyText"/>
            </w:pPr>
            <w:r w:rsidRPr="002E303E">
              <w:t>Assessors must hold crede</w:t>
            </w:r>
            <w:r w:rsidRPr="002E303E">
              <w:t xml:space="preserve">ntials specified within the Standards for Registered Training Organisations current at the time of assessment. </w:t>
            </w:r>
          </w:p>
          <w:p w:rsidR="00000000" w:rsidRPr="002E303E" w:rsidP="002E303E">
            <w:pPr>
              <w:pStyle w:val="BodyText"/>
            </w:pPr>
            <w:r w:rsidRPr="002E303E">
              <w:t>Assessment must satisfy the Principles of Assessment and Rules of Evidence and all regulatory requirements included within the Standards for Reg</w:t>
            </w:r>
            <w:r w:rsidRPr="002E303E">
              <w:t>istered Training Organisations current at the time of assessment.</w:t>
            </w:r>
          </w:p>
          <w:p w:rsidR="00000000" w:rsidRPr="002E303E" w:rsidP="002E303E">
            <w:pPr>
              <w:pStyle w:val="BodyText"/>
            </w:pPr>
            <w:r w:rsidRPr="002E303E">
              <w:t>Assessment must occur in workplace operational situations where it is appropriate to do so; where this is not appropriate, assessment must occur in a simulated workplace operational situatio</w:t>
            </w:r>
            <w:r w:rsidRPr="002E303E">
              <w:t>n that replicates workplace conditions and involve the controlled movement of equipment, goods, materials and vehicular traffic.</w:t>
            </w:r>
          </w:p>
          <w:p w:rsidR="00000000" w:rsidRPr="002E303E" w:rsidP="002E303E">
            <w:pPr>
              <w:pStyle w:val="BodyText"/>
            </w:pPr>
            <w:r w:rsidRPr="002E303E">
              <w:t>Assessment processes and techniques must be appropriate to the language, literacy and numeracy requirements of the work being p</w:t>
            </w:r>
            <w:r w:rsidRPr="002E303E">
              <w:t>erformed and the needs of the candidate.</w:t>
            </w:r>
          </w:p>
          <w:p w:rsidR="00000000" w:rsidRPr="002E303E" w:rsidP="002E303E">
            <w:pPr>
              <w:pStyle w:val="BodyText"/>
            </w:pPr>
            <w:r w:rsidRPr="002E303E">
              <w:t>Resources for assessment must include access to:</w:t>
            </w:r>
          </w:p>
          <w:p w:rsidR="00000000" w:rsidRPr="002E303E" w:rsidP="002E303E">
            <w:pPr>
              <w:pStyle w:val="ListBullet"/>
            </w:pPr>
            <w:r w:rsidRPr="002E303E">
              <w:t>a range of relevant exercises, case studies and/or simulations</w:t>
            </w:r>
          </w:p>
          <w:p w:rsidR="00000000" w:rsidRPr="002E303E" w:rsidP="002E303E">
            <w:pPr>
              <w:pStyle w:val="ListBullet"/>
            </w:pPr>
            <w:r w:rsidRPr="002E303E">
              <w:t xml:space="preserve">applicable documentation including workplace procedures, regulations, codes of practice and operation </w:t>
            </w:r>
            <w:r w:rsidRPr="002E303E">
              <w:t xml:space="preserve">manuals, including relevant: </w:t>
            </w:r>
          </w:p>
          <w:p w:rsidR="00000000" w:rsidRPr="002E303E" w:rsidP="002E303E">
            <w:pPr>
              <w:pStyle w:val="ListBullet2"/>
            </w:pPr>
            <w:r w:rsidRPr="002E303E">
              <w:t>state/territory regulations and licence/permit requirements pertaining to mobile cranes</w:t>
            </w:r>
          </w:p>
          <w:p w:rsidR="00000000" w:rsidRPr="002E303E" w:rsidP="002E303E">
            <w:pPr>
              <w:pStyle w:val="ListBullet2"/>
            </w:pPr>
            <w:r w:rsidRPr="002E303E">
              <w:t>state/territory road rules</w:t>
            </w:r>
          </w:p>
          <w:p w:rsidR="00000000" w:rsidRPr="002E303E" w:rsidP="002E303E">
            <w:pPr>
              <w:pStyle w:val="ListBullet2"/>
            </w:pPr>
            <w:r w:rsidRPr="002E303E">
              <w:t>state/territory WHS/OHS legislation</w:t>
            </w:r>
          </w:p>
          <w:p w:rsidR="00000000" w:rsidRPr="002E303E" w:rsidP="002E303E">
            <w:pPr>
              <w:pStyle w:val="ListBullet2"/>
            </w:pPr>
            <w:r w:rsidRPr="002E303E">
              <w:t>state/territory environmental protection legislation</w:t>
            </w:r>
          </w:p>
          <w:p w:rsidR="00000000" w:rsidRPr="002E303E" w:rsidP="002E303E">
            <w:pPr>
              <w:pStyle w:val="ListBullet"/>
            </w:pPr>
            <w:r w:rsidRPr="002E303E">
              <w:t>relevant materials, tools and equipment</w:t>
            </w:r>
          </w:p>
          <w:p w:rsidR="00000000" w:rsidRPr="002E303E" w:rsidP="002E303E">
            <w:pPr>
              <w:pStyle w:val="ListBullet"/>
            </w:pPr>
            <w:r w:rsidRPr="002E303E">
              <w:t>PPE, including:</w:t>
            </w:r>
          </w:p>
          <w:p w:rsidR="00000000" w:rsidRPr="002E303E" w:rsidP="002E303E">
            <w:pPr>
              <w:pStyle w:val="ListBullet2"/>
            </w:pPr>
            <w:r w:rsidRPr="002E303E">
              <w:t>gloves</w:t>
            </w:r>
          </w:p>
          <w:p w:rsidR="00000000" w:rsidRPr="002E303E" w:rsidP="002E303E">
            <w:pPr>
              <w:pStyle w:val="ListBullet2"/>
            </w:pPr>
            <w:r w:rsidRPr="002E303E">
              <w:t>safety headwear and footwear</w:t>
            </w:r>
          </w:p>
          <w:p w:rsidR="00000000" w:rsidRPr="002E303E" w:rsidP="002E303E">
            <w:pPr>
              <w:pStyle w:val="ListBullet2"/>
            </w:pPr>
            <w:r w:rsidRPr="002E303E">
              <w:t>sunscreen, sunglasses and safety glasses</w:t>
            </w:r>
          </w:p>
          <w:p w:rsidR="00000000" w:rsidRPr="002E303E" w:rsidP="002E303E">
            <w:pPr>
              <w:pStyle w:val="ListBullet2"/>
            </w:pPr>
            <w:r w:rsidRPr="002E303E">
              <w:t>two-way radios</w:t>
            </w:r>
          </w:p>
          <w:p w:rsidR="00000000" w:rsidRPr="002E303E" w:rsidP="002E303E">
            <w:pPr>
              <w:pStyle w:val="ListBullet2"/>
            </w:pPr>
            <w:r w:rsidRPr="002E303E">
              <w:t>high visibility clothing.</w:t>
            </w:r>
          </w:p>
        </w:tc>
      </w:tr>
    </w:tbl>
    <w:p w:rsidR="00000000" w:rsidRPr="002E303E" w:rsidP="002E303E">
      <w:pPr>
        <w:pStyle w:val="NoPaddingFontSize1"/>
      </w:pPr>
    </w:p>
    <w:p w:rsidR="00000000" w:rsidRPr="002E303E" w:rsidP="002E303E">
      <w:pPr>
        <w:pStyle w:val="AllowPageBreak"/>
      </w:pPr>
    </w:p>
    <w:p w:rsidR="00000000" w:rsidRPr="002E303E" w:rsidP="002E303E">
      <w:pPr>
        <w:pStyle w:val="Heading1"/>
      </w:pPr>
      <w:bookmarkStart w:id="15" w:name="O_1240380"/>
      <w:bookmarkEnd w:id="15"/>
      <w:r w:rsidRPr="002E303E">
        <w:t>Links</w:t>
      </w:r>
    </w:p>
    <w:p w:rsidR="00000000" w:rsidRPr="002E303E" w:rsidP="00332E5E">
      <w:pPr>
        <w:pStyle w:val="BodyText"/>
      </w:pPr>
      <w:r w:rsidRPr="002E3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04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303E" w:rsidP="002E303E"/>
    <w:sectPr w:rsidSect="002E3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 w:rsidRPr="00332E5E" w:rsidP="00332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5E" w:rsidP="002E3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E5E" w:rsidP="002E3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2E5E" w:rsidP="002E3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 w:rsidP="002E3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E5E">
      <w:t>Approved</w:t>
    </w:r>
    <w:r w:rsidR="00332E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E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E5E">
      <w:rPr>
        <w:noProof/>
      </w:rPr>
      <w:t>4</w:t>
    </w:r>
    <w:r>
      <w:rPr>
        <w:noProof/>
      </w:rPr>
      <w:fldChar w:fldCharType="end"/>
    </w:r>
  </w:p>
  <w:p w:rsidR="002E303E" w:rsidP="002E3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E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E5E">
      <w:t>Industry Skills Australia</w:t>
    </w:r>
    <w:r w:rsidR="00332E5E">
      <w:fldChar w:fldCharType="end"/>
    </w:r>
  </w:p>
  <w:p w:rsidR="002E303E" w:rsidP="002E3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03E" w:rsidRPr="00332E5E" w:rsidP="00332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5E" w:rsidRPr="002D2AF8" w:rsidP="002E3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TLIB0048 Prepare a mobile crane for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E5E" w:rsidP="002E3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3E" w:rsidRPr="002D2AF8" w:rsidP="002E3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E5E">
      <w:t>TLIB0048 Prepare a mobile crane for lift</w:t>
    </w:r>
    <w:r w:rsidR="00332E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E5E">
      <w:rPr>
        <w:noProof/>
      </w:rPr>
      <w:t>2 March 2025</w:t>
    </w:r>
    <w:r>
      <w:fldChar w:fldCharType="end"/>
    </w:r>
  </w:p>
  <w:p w:rsidR="002E303E" w:rsidP="002E3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4F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481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80C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03E"/>
  </w:style>
  <w:style w:type="character" w:customStyle="1" w:styleId="Heading1Char">
    <w:name w:val="Heading 1 Char"/>
    <w:basedOn w:val="DefaultParagraphFont"/>
    <w:link w:val="Heading1"/>
    <w:rsid w:val="002E3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03E"/>
    <w:rPr>
      <w:b/>
      <w:spacing w:val="0"/>
    </w:rPr>
  </w:style>
  <w:style w:type="paragraph" w:styleId="ListBullet2">
    <w:name w:val="List Bullet 2"/>
    <w:basedOn w:val="List2"/>
    <w:rsid w:val="002E3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3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03E"/>
    <w:rPr>
      <w:i/>
    </w:rPr>
  </w:style>
  <w:style w:type="paragraph" w:styleId="Caption">
    <w:name w:val="caption"/>
    <w:basedOn w:val="BodyText"/>
    <w:next w:val="Normal"/>
    <w:qFormat/>
    <w:rsid w:val="002E3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03E"/>
  </w:style>
  <w:style w:type="paragraph" w:styleId="TableofFigures">
    <w:name w:val="table of figures"/>
    <w:basedOn w:val="Normal"/>
    <w:next w:val="Normal"/>
    <w:semiHidden/>
    <w:rsid w:val="002E3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03E"/>
    <w:rPr>
      <w:rFonts w:ascii="Wingdings" w:hAnsi="Wingdings"/>
    </w:rPr>
  </w:style>
  <w:style w:type="paragraph" w:customStyle="1" w:styleId="TableHeading">
    <w:name w:val="Table Heading"/>
    <w:basedOn w:val="HeadingBase"/>
    <w:rsid w:val="002E3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03E"/>
    <w:rPr>
      <w:color w:val="0033CC"/>
      <w:u w:val="none"/>
    </w:rPr>
  </w:style>
  <w:style w:type="paragraph" w:customStyle="1" w:styleId="BodyTextRight">
    <w:name w:val="Body Text Right"/>
    <w:basedOn w:val="BodyText"/>
    <w:rsid w:val="002E3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03E"/>
    <w:rPr>
      <w:sz w:val="32"/>
    </w:rPr>
  </w:style>
  <w:style w:type="paragraph" w:customStyle="1" w:styleId="HeadingProcedure">
    <w:name w:val="Heading Procedure"/>
    <w:basedOn w:val="HeadingBase"/>
    <w:next w:val="Normal"/>
    <w:rsid w:val="002E3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03E"/>
    <w:pPr>
      <w:spacing w:before="60" w:after="60"/>
    </w:pPr>
  </w:style>
  <w:style w:type="paragraph" w:styleId="ListContinue">
    <w:name w:val="List Continue"/>
    <w:basedOn w:val="List"/>
    <w:rsid w:val="002E303E"/>
    <w:pPr>
      <w:ind w:firstLine="0"/>
    </w:pPr>
  </w:style>
  <w:style w:type="paragraph" w:customStyle="1" w:styleId="ListNote">
    <w:name w:val="List Note"/>
    <w:basedOn w:val="List"/>
    <w:rsid w:val="002E3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03E"/>
    <w:rPr>
      <w:rFonts w:ascii="Courier New" w:hAnsi="Courier New"/>
    </w:rPr>
  </w:style>
  <w:style w:type="paragraph" w:customStyle="1" w:styleId="NoteBullet">
    <w:name w:val="Note Bullet"/>
    <w:basedOn w:val="Note"/>
    <w:rsid w:val="002E3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03E"/>
    <w:rPr>
      <w:b/>
      <w:smallCaps/>
    </w:rPr>
  </w:style>
  <w:style w:type="paragraph" w:customStyle="1" w:styleId="TableListNumber">
    <w:name w:val="Table List Number"/>
    <w:basedOn w:val="ListNumber"/>
    <w:rsid w:val="002E3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03E"/>
    <w:pPr>
      <w:numPr>
        <w:numId w:val="9"/>
      </w:numPr>
    </w:pPr>
  </w:style>
  <w:style w:type="paragraph" w:customStyle="1" w:styleId="ListAlpha2">
    <w:name w:val="List Alpha 2"/>
    <w:basedOn w:val="List2"/>
    <w:rsid w:val="002E303E"/>
    <w:pPr>
      <w:numPr>
        <w:numId w:val="8"/>
      </w:numPr>
    </w:pPr>
  </w:style>
  <w:style w:type="paragraph" w:styleId="List2">
    <w:name w:val="List 2"/>
    <w:basedOn w:val="BodyText"/>
    <w:rsid w:val="002E3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03E"/>
    <w:pPr>
      <w:numPr>
        <w:numId w:val="4"/>
      </w:numPr>
    </w:pPr>
  </w:style>
  <w:style w:type="paragraph" w:styleId="ListContinue2">
    <w:name w:val="List Continue 2"/>
    <w:basedOn w:val="List2"/>
    <w:rsid w:val="002E303E"/>
    <w:pPr>
      <w:ind w:firstLine="0"/>
    </w:pPr>
  </w:style>
  <w:style w:type="paragraph" w:styleId="ListContinue3">
    <w:name w:val="List Continue 3"/>
    <w:basedOn w:val="List3"/>
    <w:rsid w:val="002E303E"/>
    <w:pPr>
      <w:ind w:left="1021" w:firstLine="0"/>
    </w:pPr>
  </w:style>
  <w:style w:type="paragraph" w:styleId="ListContinue4">
    <w:name w:val="List Continue 4"/>
    <w:basedOn w:val="List4"/>
    <w:rsid w:val="002E303E"/>
    <w:pPr>
      <w:ind w:firstLine="0"/>
    </w:pPr>
  </w:style>
  <w:style w:type="paragraph" w:styleId="ListContinue5">
    <w:name w:val="List Continue 5"/>
    <w:basedOn w:val="List5"/>
    <w:rsid w:val="002E303E"/>
    <w:pPr>
      <w:ind w:firstLine="0"/>
    </w:pPr>
  </w:style>
  <w:style w:type="paragraph" w:styleId="ListNumber3">
    <w:name w:val="List Number 3"/>
    <w:basedOn w:val="List3"/>
    <w:rsid w:val="002E303E"/>
    <w:pPr>
      <w:numPr>
        <w:numId w:val="5"/>
      </w:numPr>
    </w:pPr>
  </w:style>
  <w:style w:type="paragraph" w:styleId="ListNumber4">
    <w:name w:val="List Number 4"/>
    <w:basedOn w:val="List4"/>
    <w:rsid w:val="002E303E"/>
    <w:pPr>
      <w:numPr>
        <w:numId w:val="6"/>
      </w:numPr>
    </w:pPr>
  </w:style>
  <w:style w:type="paragraph" w:styleId="ListNumber5">
    <w:name w:val="List Number 5"/>
    <w:basedOn w:val="List5"/>
    <w:rsid w:val="002E303E"/>
    <w:pPr>
      <w:numPr>
        <w:numId w:val="7"/>
      </w:numPr>
    </w:pPr>
  </w:style>
  <w:style w:type="paragraph" w:styleId="BlockText">
    <w:name w:val="Block Text"/>
    <w:basedOn w:val="Normal"/>
    <w:rsid w:val="002E3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03E"/>
    <w:rPr>
      <w:sz w:val="16"/>
      <w:vertAlign w:val="superscript"/>
    </w:rPr>
  </w:style>
  <w:style w:type="character" w:customStyle="1" w:styleId="Symbols">
    <w:name w:val="Symbols"/>
    <w:basedOn w:val="DefaultParagraphFont"/>
    <w:rsid w:val="002E303E"/>
    <w:rPr>
      <w:rFonts w:ascii="Symbol" w:hAnsi="Symbol"/>
    </w:rPr>
  </w:style>
  <w:style w:type="character" w:customStyle="1" w:styleId="MenuOptions">
    <w:name w:val="Menu Options"/>
    <w:basedOn w:val="DefaultParagraphFont"/>
    <w:rsid w:val="002E3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03E"/>
    <w:rPr>
      <w:b/>
    </w:rPr>
  </w:style>
  <w:style w:type="character" w:customStyle="1" w:styleId="Underlined">
    <w:name w:val="Underlined"/>
    <w:basedOn w:val="DefaultParagraphFont"/>
    <w:rsid w:val="002E303E"/>
    <w:rPr>
      <w:u w:val="single"/>
    </w:rPr>
  </w:style>
  <w:style w:type="paragraph" w:customStyle="1" w:styleId="TableBodyTextRight">
    <w:name w:val="Table Body Text Right"/>
    <w:basedOn w:val="TableBodyText"/>
    <w:rsid w:val="002E3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03E"/>
    <w:rPr>
      <w:sz w:val="18"/>
    </w:rPr>
  </w:style>
  <w:style w:type="paragraph" w:customStyle="1" w:styleId="BodySmallRight">
    <w:name w:val="Body Small Right"/>
    <w:basedOn w:val="BodyTextRight"/>
    <w:rsid w:val="002E303E"/>
    <w:rPr>
      <w:sz w:val="18"/>
      <w:szCs w:val="18"/>
    </w:rPr>
  </w:style>
  <w:style w:type="paragraph" w:customStyle="1" w:styleId="MarginEdition">
    <w:name w:val="Margin Edition"/>
    <w:basedOn w:val="MarginNote"/>
    <w:rsid w:val="002E3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03E"/>
    <w:rPr>
      <w:sz w:val="2"/>
      <w:szCs w:val="2"/>
    </w:rPr>
  </w:style>
  <w:style w:type="character" w:customStyle="1" w:styleId="Small">
    <w:name w:val="Small"/>
    <w:basedOn w:val="DefaultParagraphFont"/>
    <w:rsid w:val="002E303E"/>
    <w:rPr>
      <w:sz w:val="16"/>
    </w:rPr>
  </w:style>
  <w:style w:type="paragraph" w:customStyle="1" w:styleId="WideTable">
    <w:name w:val="Wide Table"/>
    <w:basedOn w:val="Normal"/>
    <w:rsid w:val="002E3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03E"/>
  </w:style>
  <w:style w:type="paragraph" w:styleId="Quote">
    <w:name w:val="Quote"/>
    <w:basedOn w:val="Heading1"/>
    <w:link w:val="QuoteChar"/>
    <w:qFormat/>
    <w:rsid w:val="002E3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03E"/>
    <w:pPr>
      <w:pageBreakBefore/>
    </w:pPr>
  </w:style>
  <w:style w:type="paragraph" w:customStyle="1" w:styleId="Border">
    <w:name w:val="Border"/>
    <w:basedOn w:val="Normal"/>
    <w:qFormat/>
    <w:rsid w:val="002E3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03E"/>
    <w:rPr>
      <w:u w:val="single"/>
    </w:rPr>
  </w:style>
  <w:style w:type="character" w:customStyle="1" w:styleId="BoldandItalics">
    <w:name w:val="Bold and Italics"/>
    <w:qFormat/>
    <w:rsid w:val="002E303E"/>
    <w:rPr>
      <w:b/>
      <w:i/>
      <w:u w:val="none"/>
    </w:rPr>
  </w:style>
  <w:style w:type="paragraph" w:styleId="BalloonText">
    <w:name w:val="Balloon Text"/>
    <w:basedOn w:val="Normal"/>
    <w:link w:val="BalloonTextChar"/>
    <w:rsid w:val="002E3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03E"/>
    <w:pPr>
      <w:spacing w:before="0" w:after="0"/>
    </w:pPr>
  </w:style>
  <w:style w:type="paragraph" w:customStyle="1" w:styleId="BodyTextBold">
    <w:name w:val="Body Text Bold"/>
    <w:basedOn w:val="BodyText"/>
    <w:qFormat/>
    <w:rsid w:val="002E303E"/>
    <w:rPr>
      <w:b/>
    </w:rPr>
  </w:style>
  <w:style w:type="character" w:styleId="Hyperlink">
    <w:name w:val="Hyperlink"/>
    <w:basedOn w:val="DefaultParagraphFont"/>
    <w:uiPriority w:val="99"/>
    <w:unhideWhenUsed/>
    <w:rsid w:val="00332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6787</Characters>
  <Application>Microsoft Office Word</Application>
  <DocSecurity>0</DocSecurity>
  <Lines>218</Lines>
  <Paragraphs>130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TLIB0048 Prepare a mobile crane for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