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143D" w:rsidP="006614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TLIB0043 Pack-up mobile crane tools and lifting equipment</w:t>
      </w:r>
      <w:r>
        <w:fldChar w:fldCharType="end"/>
      </w:r>
    </w:p>
    <w:p w:rsidR="0066143D" w:rsidP="0066143D">
      <w:pPr>
        <w:pStyle w:val="Version"/>
        <w:sectPr w:rsidSect="00144E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E7A" w:rsidP="00144E7A">
      <w:pPr>
        <w:pStyle w:val="SuperHeading"/>
      </w:pPr>
      <w:r w:rsidRPr="00144E7A">
        <w:t>TLIB0043 Pack-up mobile crane tools and lifting equipment</w:t>
      </w:r>
    </w:p>
    <w:p w:rsidR="00000000" w:rsidRPr="00144E7A" w:rsidP="00144E7A">
      <w:pPr>
        <w:pStyle w:val="Heading1"/>
      </w:pPr>
      <w:bookmarkStart w:id="1" w:name="O_1240326"/>
      <w:bookmarkEnd w:id="1"/>
      <w:r w:rsidRPr="00144E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rPr>
                <w:rStyle w:val="SpecialBold"/>
              </w:rPr>
              <w:t>Release 1</w:t>
            </w:r>
            <w:r w:rsidRPr="00144E7A">
              <w:t>. This is the first release of this unit of competency in the TLI Transport and Logistics Training Package.</w:t>
            </w:r>
          </w:p>
        </w:tc>
      </w:tr>
    </w:tbl>
    <w:p w:rsidR="00000000" w:rsidRPr="00144E7A" w:rsidP="00144E7A">
      <w:pPr>
        <w:pStyle w:val="NoPaddingFontSize1"/>
      </w:pPr>
    </w:p>
    <w:p w:rsidR="00000000" w:rsidRPr="00144E7A" w:rsidP="00144E7A">
      <w:pPr>
        <w:pStyle w:val="AllowPageBreak"/>
      </w:pPr>
    </w:p>
    <w:p w:rsidR="00000000" w:rsidRPr="00144E7A" w:rsidP="00144E7A">
      <w:pPr>
        <w:pStyle w:val="Heading1"/>
      </w:pPr>
      <w:bookmarkStart w:id="2" w:name="O_1240327"/>
      <w:bookmarkEnd w:id="2"/>
      <w:r w:rsidRPr="00144E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t>This unit involves the skills and knowledge required to pack-up a m</w:t>
            </w:r>
            <w:r w:rsidRPr="00144E7A">
              <w:t>obile crane and store tools and lifting equipment in accordance with workplace procedures, environmental requirements and manufacturer specifications.</w:t>
            </w:r>
          </w:p>
          <w:p w:rsidR="00000000" w:rsidRPr="00144E7A" w:rsidP="00144E7A">
            <w:pPr>
              <w:pStyle w:val="BodyText"/>
            </w:pPr>
            <w:r w:rsidRPr="00144E7A">
              <w:t>It includes inspecting tools and lifting equipment, securing outriggers, packing and storing tools and eq</w:t>
            </w:r>
            <w:r w:rsidRPr="00144E7A">
              <w:t>uipment, and completing necessary records.</w:t>
            </w:r>
          </w:p>
          <w:p w:rsidR="00000000" w:rsidRPr="00144E7A" w:rsidP="00144E7A">
            <w:pPr>
              <w:pStyle w:val="BodyText"/>
            </w:pPr>
            <w:r w:rsidRPr="00144E7A">
              <w:t>Work is performed with limited or minimum supervision.</w:t>
            </w:r>
          </w:p>
          <w:p w:rsidR="00000000" w:rsidRPr="00144E7A" w:rsidP="00144E7A">
            <w:pPr>
              <w:pStyle w:val="BodyText"/>
            </w:pPr>
            <w:r w:rsidRPr="00144E7A">
              <w:t>People achieving competence in this unit must hold the relevant high risk work licence prior to undertaking mobile crane operation, dogging or rigging work.</w:t>
            </w:r>
          </w:p>
          <w:p w:rsidR="00000000" w:rsidRPr="00144E7A" w:rsidP="00144E7A">
            <w:pPr>
              <w:pStyle w:val="BodyText"/>
            </w:pPr>
            <w:r w:rsidRPr="00144E7A">
              <w:t>W</w:t>
            </w:r>
            <w:r w:rsidRPr="00144E7A">
              <w:t>ork must be carried out in compliance with the relevant state/territory authority mobile crane operations licence/permit requirements and regulations, codes of practice, rules and/or guidelines.</w:t>
            </w:r>
          </w:p>
        </w:tc>
      </w:tr>
    </w:tbl>
    <w:p w:rsidR="00000000" w:rsidRPr="00144E7A" w:rsidP="00144E7A">
      <w:pPr>
        <w:pStyle w:val="NoPaddingFontSize1"/>
      </w:pPr>
    </w:p>
    <w:p w:rsidR="00000000" w:rsidRPr="00144E7A" w:rsidP="00144E7A">
      <w:pPr>
        <w:pStyle w:val="AllowPageBreak"/>
      </w:pPr>
    </w:p>
    <w:p w:rsidR="00000000" w:rsidRPr="00144E7A" w:rsidP="00144E7A">
      <w:pPr>
        <w:pStyle w:val="Heading1"/>
      </w:pPr>
      <w:bookmarkStart w:id="3" w:name="O_1240328"/>
      <w:bookmarkEnd w:id="3"/>
      <w:r w:rsidRPr="00144E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t>Not applicable.</w:t>
            </w:r>
          </w:p>
        </w:tc>
      </w:tr>
    </w:tbl>
    <w:p w:rsidR="00000000" w:rsidRPr="00144E7A" w:rsidP="00144E7A">
      <w:pPr>
        <w:pStyle w:val="NoPaddingFontSize1"/>
      </w:pPr>
    </w:p>
    <w:p w:rsidR="00000000" w:rsidRPr="00144E7A" w:rsidP="00144E7A">
      <w:pPr>
        <w:pStyle w:val="AllowPageBreak"/>
      </w:pPr>
    </w:p>
    <w:p w:rsidR="00000000" w:rsidRPr="00144E7A" w:rsidP="00144E7A">
      <w:pPr>
        <w:pStyle w:val="Heading1"/>
      </w:pPr>
      <w:bookmarkStart w:id="4" w:name="O_1240329"/>
      <w:bookmarkEnd w:id="4"/>
      <w:r w:rsidRPr="00144E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t>B – Equipment Checking and Maintenance</w:t>
            </w:r>
          </w:p>
        </w:tc>
      </w:tr>
    </w:tbl>
    <w:p w:rsidR="00000000" w:rsidRPr="00144E7A" w:rsidP="00144E7A">
      <w:pPr>
        <w:pStyle w:val="NoPaddingFontSize1"/>
      </w:pPr>
    </w:p>
    <w:p w:rsidR="00000000" w:rsidRPr="00144E7A" w:rsidP="00144E7A">
      <w:pPr>
        <w:pStyle w:val="AllowPageBreak"/>
      </w:pPr>
    </w:p>
    <w:p w:rsidR="00000000" w:rsidRPr="00144E7A" w:rsidP="00144E7A">
      <w:pPr>
        <w:pStyle w:val="Heading1"/>
      </w:pPr>
      <w:bookmarkStart w:id="5" w:name="O_1240330"/>
      <w:bookmarkEnd w:id="5"/>
      <w:r w:rsidRPr="00144E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t>Mobile Crane.</w:t>
            </w:r>
          </w:p>
        </w:tc>
      </w:tr>
    </w:tbl>
    <w:p w:rsidR="00000000" w:rsidRPr="00144E7A" w:rsidP="00144E7A">
      <w:pPr>
        <w:pStyle w:val="NoPaddingFontSize1"/>
      </w:pPr>
    </w:p>
    <w:p w:rsidR="00000000" w:rsidRPr="00144E7A" w:rsidP="00144E7A">
      <w:pPr>
        <w:pStyle w:val="AllowPageBreak"/>
      </w:pPr>
    </w:p>
    <w:p w:rsidR="00000000" w:rsidRPr="00144E7A" w:rsidP="00144E7A">
      <w:pPr>
        <w:pStyle w:val="Heading1"/>
      </w:pPr>
      <w:bookmarkStart w:id="6" w:name="O_1240331"/>
      <w:bookmarkEnd w:id="6"/>
      <w:r w:rsidRPr="00144E7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46"/>
        <w:gridCol w:w="2757"/>
        <w:gridCol w:w="1509"/>
        <w:gridCol w:w="4485"/>
      </w:tblGrid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rPr>
                <w:rStyle w:val="SpecialBold"/>
              </w:rPr>
              <w:t>ELEMENTS</w:t>
            </w:r>
          </w:p>
        </w:tc>
        <w:tc>
          <w:tcPr>
            <w:tcW w:w="59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rPr>
                <w:rStyle w:val="SpecialBold"/>
              </w:rPr>
              <w:t>PERFORMANCE CRITERIA</w:t>
            </w:r>
          </w:p>
        </w:tc>
      </w:tr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t>Elements describe the essential outcomes.</w:t>
            </w:r>
          </w:p>
        </w:tc>
        <w:tc>
          <w:tcPr>
            <w:tcW w:w="59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t>Performance criteria describe the performance needed to demonstrate achievement of the element.</w:t>
            </w:r>
          </w:p>
        </w:tc>
      </w:tr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rPr>
                <w:rStyle w:val="SpecialBold"/>
              </w:rPr>
              <w:t>1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rPr>
                <w:rStyle w:val="SpecialBold"/>
              </w:rPr>
              <w:t>Inspect lifting equipment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rPr>
                <w:rStyle w:val="SpecialBold"/>
              </w:rPr>
              <w:t>1.1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t>Job hazards are identified and required action is taken to minimise, control or eliminate identified hazards</w:t>
            </w:r>
          </w:p>
        </w:tc>
      </w:tr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>
            <w:pPr>
              <w:pStyle w:val="BodyText"/>
              <w:keepLines w:val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rPr>
                <w:rStyle w:val="SpecialBold"/>
              </w:rPr>
              <w:t>1.2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t xml:space="preserve">Operation </w:t>
            </w:r>
            <w:r w:rsidRPr="00144E7A">
              <w:t xml:space="preserve">plan, safe work method statement and other work specifications are reviewed and followed </w:t>
            </w:r>
          </w:p>
        </w:tc>
      </w:tr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>
            <w:pPr>
              <w:pStyle w:val="BodyText"/>
              <w:keepLines w:val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rPr>
                <w:rStyle w:val="SpecialBold"/>
              </w:rPr>
              <w:t>1.3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t>Crane crew and relevant personnel are briefed in accordance with operation plan and safe work method statement</w:t>
            </w:r>
          </w:p>
        </w:tc>
      </w:tr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>
            <w:pPr>
              <w:pStyle w:val="BodyText"/>
              <w:keepLines w:val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rPr>
                <w:rStyle w:val="SpecialBold"/>
              </w:rPr>
              <w:t>1.4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t>Damaged</w:t>
            </w:r>
            <w:r w:rsidRPr="00144E7A">
              <w:t xml:space="preserve"> and defective lifting equipment is tagged and segregated for testing, repair or disposal by a competent person</w:t>
            </w:r>
          </w:p>
        </w:tc>
      </w:tr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rPr>
                <w:rStyle w:val="SpecialBold"/>
              </w:rPr>
              <w:t>2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rPr>
                <w:rStyle w:val="SpecialBold"/>
              </w:rPr>
              <w:t>Secure outriggers or attachments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rPr>
                <w:rStyle w:val="SpecialBold"/>
              </w:rPr>
              <w:t>2.1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t>Outriggers, counterweights or attachments are secured and stowed in accordance with manufacturer specifi</w:t>
            </w:r>
            <w:r w:rsidRPr="00144E7A">
              <w:t xml:space="preserve">cations and operation plan </w:t>
            </w:r>
          </w:p>
        </w:tc>
      </w:tr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>
            <w:pPr>
              <w:pStyle w:val="BodyText"/>
              <w:keepLines w:val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rPr>
                <w:rStyle w:val="SpecialBold"/>
              </w:rPr>
              <w:t>2.2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t>Outrigger or attachments packing is dismantled and stowed securely</w:t>
            </w:r>
          </w:p>
        </w:tc>
      </w:tr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rPr>
                <w:rStyle w:val="SpecialBold"/>
              </w:rPr>
              <w:t>3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rPr>
                <w:rStyle w:val="SpecialBold"/>
              </w:rPr>
              <w:t>Pack and store tools and lifting equipment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rPr>
                <w:rStyle w:val="SpecialBold"/>
              </w:rPr>
              <w:t>3.1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t>Lifting equipment is cleaned as required and stored appropriately in accordance with workplace procedure</w:t>
            </w:r>
            <w:r w:rsidRPr="00144E7A">
              <w:t>s</w:t>
            </w:r>
          </w:p>
        </w:tc>
      </w:tr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>
            <w:pPr>
              <w:pStyle w:val="BodyText"/>
              <w:keepLines w:val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rPr>
                <w:rStyle w:val="SpecialBold"/>
              </w:rPr>
              <w:t>3.2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t>Additional lifting equipment is returned to depot, marked off and stored in accordance with workplace procedures</w:t>
            </w:r>
          </w:p>
        </w:tc>
      </w:tr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>
            <w:pPr>
              <w:pStyle w:val="BodyText"/>
              <w:keepLines w:val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rPr>
                <w:rStyle w:val="SpecialBold"/>
              </w:rPr>
              <w:t>3.3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t>Travel path is confirmed with operation plan, safe work method statement and other work specifications</w:t>
            </w:r>
          </w:p>
        </w:tc>
      </w:tr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>
            <w:pPr>
              <w:pStyle w:val="BodyText"/>
              <w:keepLines w:val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rPr>
                <w:rStyle w:val="SpecialBold"/>
              </w:rPr>
              <w:t>3.4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t>Mobile crane is configured for travel in accordance with workplace procedures and manufacturer specifications</w:t>
            </w:r>
          </w:p>
        </w:tc>
      </w:tr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rPr>
                <w:rStyle w:val="SpecialBold"/>
              </w:rPr>
              <w:t>4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rPr>
                <w:rStyle w:val="SpecialBold"/>
              </w:rPr>
              <w:t>Complete records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rPr>
                <w:rStyle w:val="SpecialBold"/>
              </w:rPr>
              <w:t>4.1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t>Workplace documentation is completed in accordance with workplace procedures</w:t>
            </w:r>
          </w:p>
        </w:tc>
      </w:tr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>
            <w:pPr>
              <w:pStyle w:val="BodyText"/>
              <w:keepLines w:val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7A">
            <w:pPr>
              <w:pStyle w:val="BodyText"/>
              <w:rPr>
                <w:lang w:val="en-NZ"/>
              </w:rPr>
            </w:pPr>
            <w:r w:rsidRPr="00144E7A">
              <w:rPr>
                <w:rStyle w:val="SpecialBold"/>
              </w:rPr>
              <w:t>4.2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t>Required workplace records are updated and processed accurately and promptly</w:t>
            </w:r>
          </w:p>
        </w:tc>
      </w:tr>
    </w:tbl>
    <w:p w:rsidR="00000000" w:rsidRPr="00144E7A" w:rsidP="00144E7A">
      <w:pPr>
        <w:pStyle w:val="NoPaddingFontSize1"/>
      </w:pPr>
    </w:p>
    <w:p w:rsidR="00000000" w:rsidRPr="00144E7A" w:rsidP="00144E7A">
      <w:pPr>
        <w:pStyle w:val="AllowPageBreak"/>
      </w:pPr>
    </w:p>
    <w:p w:rsidR="00000000" w:rsidRPr="00144E7A" w:rsidP="00144E7A">
      <w:pPr>
        <w:pStyle w:val="Heading1"/>
      </w:pPr>
      <w:bookmarkStart w:id="7" w:name="O_1240332"/>
      <w:bookmarkEnd w:id="7"/>
      <w:r w:rsidRPr="00144E7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t>Foundation skills essential to performance are explicit in the performance criteria of this unit of competency.</w:t>
            </w:r>
          </w:p>
        </w:tc>
      </w:tr>
    </w:tbl>
    <w:p w:rsidR="00000000" w:rsidRPr="00144E7A" w:rsidP="00144E7A">
      <w:pPr>
        <w:pStyle w:val="NoPaddingFontSize1"/>
      </w:pPr>
    </w:p>
    <w:p w:rsidR="00000000" w:rsidRPr="00144E7A" w:rsidP="00144E7A">
      <w:pPr>
        <w:pStyle w:val="AllowPageBreak"/>
      </w:pPr>
    </w:p>
    <w:p w:rsidR="00000000" w:rsidRPr="00144E7A" w:rsidP="00144E7A">
      <w:pPr>
        <w:pStyle w:val="Heading1"/>
      </w:pPr>
      <w:bookmarkStart w:id="8" w:name="O_1240333"/>
      <w:bookmarkEnd w:id="8"/>
      <w:r w:rsidRPr="00144E7A">
        <w:t>Range o</w:t>
      </w:r>
      <w:r w:rsidRPr="00144E7A">
        <w:t>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t>Range is restricted to essential operating conditions and any other variables essential to the work environment.</w:t>
            </w:r>
          </w:p>
          <w:p w:rsidR="00000000" w:rsidRPr="00144E7A" w:rsidP="00144E7A">
            <w:pPr>
              <w:pStyle w:val="BodyText"/>
            </w:pPr>
            <w:r w:rsidRPr="00144E7A">
              <w:t>Non-essential conditions can be found in the TLI Transport and Logistics Training Package Companion Volume Implementation Guide.</w:t>
            </w:r>
          </w:p>
        </w:tc>
      </w:tr>
    </w:tbl>
    <w:p w:rsidR="00000000" w:rsidRPr="00144E7A" w:rsidP="00144E7A">
      <w:pPr>
        <w:pStyle w:val="NoPaddingFontSize1"/>
      </w:pPr>
    </w:p>
    <w:p w:rsidR="00000000" w:rsidRPr="00144E7A" w:rsidP="00144E7A">
      <w:pPr>
        <w:pStyle w:val="AllowPageBreak"/>
      </w:pPr>
    </w:p>
    <w:p w:rsidR="00000000" w:rsidRPr="00144E7A" w:rsidP="00144E7A">
      <w:pPr>
        <w:pStyle w:val="Heading1"/>
      </w:pPr>
      <w:bookmarkStart w:id="9" w:name="O_1240334"/>
      <w:bookmarkEnd w:id="9"/>
      <w:r w:rsidRPr="00144E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E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7A" w:rsidP="00144E7A">
            <w:pPr>
              <w:pStyle w:val="BodyText"/>
            </w:pPr>
            <w:r w:rsidRPr="00144E7A">
              <w:t>This unit replaces and is equivalent to TLIB3016 De-rig, pack and store tools and equipment.</w:t>
            </w:r>
          </w:p>
        </w:tc>
      </w:tr>
    </w:tbl>
    <w:p w:rsidR="00000000" w:rsidRPr="00144E7A" w:rsidP="00144E7A">
      <w:pPr>
        <w:pStyle w:val="NoPaddingFontSize1"/>
      </w:pPr>
    </w:p>
    <w:p w:rsidR="00000000" w:rsidRPr="00144E7A" w:rsidP="00144E7A">
      <w:pPr>
        <w:pStyle w:val="AllowPageBreak"/>
      </w:pPr>
    </w:p>
    <w:p w:rsidR="00000000" w:rsidRPr="00144E7A" w:rsidP="00144E7A">
      <w:pPr>
        <w:pStyle w:val="Heading1"/>
      </w:pPr>
      <w:bookmarkStart w:id="10" w:name="O_1240341"/>
      <w:bookmarkEnd w:id="10"/>
      <w:r w:rsidRPr="00144E7A">
        <w:t>Links</w:t>
      </w:r>
    </w:p>
    <w:p w:rsidR="00000000" w:rsidRPr="00144E7A" w:rsidP="0066143D">
      <w:pPr>
        <w:pStyle w:val="BodyText"/>
      </w:pPr>
      <w:r w:rsidRPr="00144E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612F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4E7A" w:rsidP="00144E7A"/>
    <w:sectPr w:rsidSect="00144E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7A" w:rsidRPr="0066143D" w:rsidP="006614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43D" w:rsidP="00144E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143D" w:rsidP="00144E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6143D" w:rsidP="00144E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4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E7A" w:rsidRPr="0066143D" w:rsidP="006614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43D" w:rsidRPr="002D2AF8" w:rsidP="00144E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TLIB0043 Pack-up mobile crane tools and lifting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6143D" w:rsidP="00144E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E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E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E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E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E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E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E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E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E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E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E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E7A"/>
  </w:style>
  <w:style w:type="character" w:customStyle="1" w:styleId="Heading1Char">
    <w:name w:val="Heading 1 Char"/>
    <w:basedOn w:val="DefaultParagraphFont"/>
    <w:link w:val="Heading1"/>
    <w:rsid w:val="00144E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E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E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4E7A"/>
    <w:rPr>
      <w:b/>
      <w:spacing w:val="0"/>
    </w:rPr>
  </w:style>
  <w:style w:type="paragraph" w:customStyle="1" w:styleId="SuperHeading">
    <w:name w:val="SuperHeading"/>
    <w:basedOn w:val="Normal"/>
    <w:rsid w:val="00144E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E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4E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E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E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E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E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E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E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E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E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E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E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E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E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E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E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E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4E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E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E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E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E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E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E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E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E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E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E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E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E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E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E7A"/>
    <w:rPr>
      <w:i/>
    </w:rPr>
  </w:style>
  <w:style w:type="paragraph" w:styleId="Caption">
    <w:name w:val="caption"/>
    <w:basedOn w:val="BodyText"/>
    <w:next w:val="Normal"/>
    <w:qFormat/>
    <w:rsid w:val="00144E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E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E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E7A"/>
  </w:style>
  <w:style w:type="paragraph" w:styleId="TableofFigures">
    <w:name w:val="table of figures"/>
    <w:basedOn w:val="Normal"/>
    <w:next w:val="Normal"/>
    <w:semiHidden/>
    <w:rsid w:val="00144E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E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4E7A"/>
    <w:rPr>
      <w:rFonts w:ascii="Wingdings" w:hAnsi="Wingdings"/>
    </w:rPr>
  </w:style>
  <w:style w:type="paragraph" w:customStyle="1" w:styleId="TableHeading">
    <w:name w:val="Table Heading"/>
    <w:basedOn w:val="HeadingBase"/>
    <w:rsid w:val="00144E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E7A"/>
    <w:rPr>
      <w:color w:val="0033CC"/>
      <w:u w:val="none"/>
    </w:rPr>
  </w:style>
  <w:style w:type="paragraph" w:customStyle="1" w:styleId="BodyTextRight">
    <w:name w:val="Body Text Right"/>
    <w:basedOn w:val="BodyText"/>
    <w:rsid w:val="00144E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E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E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E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E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E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E7A"/>
    <w:rPr>
      <w:sz w:val="32"/>
    </w:rPr>
  </w:style>
  <w:style w:type="paragraph" w:customStyle="1" w:styleId="HeadingProcedure">
    <w:name w:val="Heading Procedure"/>
    <w:basedOn w:val="HeadingBase"/>
    <w:next w:val="Normal"/>
    <w:rsid w:val="00144E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E7A"/>
    <w:pPr>
      <w:spacing w:before="60" w:after="60"/>
    </w:pPr>
  </w:style>
  <w:style w:type="paragraph" w:styleId="ListContinue">
    <w:name w:val="List Continue"/>
    <w:basedOn w:val="List"/>
    <w:rsid w:val="00144E7A"/>
    <w:pPr>
      <w:ind w:firstLine="0"/>
    </w:pPr>
  </w:style>
  <w:style w:type="paragraph" w:customStyle="1" w:styleId="ListNote">
    <w:name w:val="List Note"/>
    <w:basedOn w:val="List"/>
    <w:rsid w:val="00144E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E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E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E7A"/>
    <w:rPr>
      <w:rFonts w:ascii="Courier New" w:hAnsi="Courier New"/>
    </w:rPr>
  </w:style>
  <w:style w:type="paragraph" w:customStyle="1" w:styleId="NoteBullet">
    <w:name w:val="Note Bullet"/>
    <w:basedOn w:val="Note"/>
    <w:rsid w:val="00144E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E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E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E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E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4E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E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E7A"/>
    <w:rPr>
      <w:b/>
      <w:smallCaps/>
    </w:rPr>
  </w:style>
  <w:style w:type="paragraph" w:customStyle="1" w:styleId="TableListNumber">
    <w:name w:val="Table List Number"/>
    <w:basedOn w:val="ListNumber"/>
    <w:rsid w:val="00144E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E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E7A"/>
    <w:pPr>
      <w:numPr>
        <w:numId w:val="7"/>
      </w:numPr>
    </w:pPr>
  </w:style>
  <w:style w:type="paragraph" w:customStyle="1" w:styleId="ListAlpha2">
    <w:name w:val="List Alpha 2"/>
    <w:basedOn w:val="List2"/>
    <w:rsid w:val="00144E7A"/>
    <w:pPr>
      <w:numPr>
        <w:numId w:val="6"/>
      </w:numPr>
    </w:pPr>
  </w:style>
  <w:style w:type="paragraph" w:styleId="List2">
    <w:name w:val="List 2"/>
    <w:basedOn w:val="BodyText"/>
    <w:rsid w:val="00144E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E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E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E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E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E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4E7A"/>
    <w:pPr>
      <w:numPr>
        <w:numId w:val="2"/>
      </w:numPr>
    </w:pPr>
  </w:style>
  <w:style w:type="paragraph" w:styleId="ListContinue2">
    <w:name w:val="List Continue 2"/>
    <w:basedOn w:val="List2"/>
    <w:rsid w:val="00144E7A"/>
    <w:pPr>
      <w:ind w:firstLine="0"/>
    </w:pPr>
  </w:style>
  <w:style w:type="paragraph" w:styleId="ListContinue3">
    <w:name w:val="List Continue 3"/>
    <w:basedOn w:val="List3"/>
    <w:rsid w:val="00144E7A"/>
    <w:pPr>
      <w:ind w:left="1021" w:firstLine="0"/>
    </w:pPr>
  </w:style>
  <w:style w:type="paragraph" w:styleId="ListContinue4">
    <w:name w:val="List Continue 4"/>
    <w:basedOn w:val="List4"/>
    <w:rsid w:val="00144E7A"/>
    <w:pPr>
      <w:ind w:firstLine="0"/>
    </w:pPr>
  </w:style>
  <w:style w:type="paragraph" w:styleId="ListContinue5">
    <w:name w:val="List Continue 5"/>
    <w:basedOn w:val="List5"/>
    <w:rsid w:val="00144E7A"/>
    <w:pPr>
      <w:ind w:firstLine="0"/>
    </w:pPr>
  </w:style>
  <w:style w:type="paragraph" w:styleId="ListNumber3">
    <w:name w:val="List Number 3"/>
    <w:basedOn w:val="List3"/>
    <w:rsid w:val="00144E7A"/>
    <w:pPr>
      <w:numPr>
        <w:numId w:val="3"/>
      </w:numPr>
    </w:pPr>
  </w:style>
  <w:style w:type="paragraph" w:styleId="ListNumber4">
    <w:name w:val="List Number 4"/>
    <w:basedOn w:val="List4"/>
    <w:rsid w:val="00144E7A"/>
    <w:pPr>
      <w:numPr>
        <w:numId w:val="4"/>
      </w:numPr>
    </w:pPr>
  </w:style>
  <w:style w:type="paragraph" w:styleId="ListNumber5">
    <w:name w:val="List Number 5"/>
    <w:basedOn w:val="List5"/>
    <w:rsid w:val="00144E7A"/>
    <w:pPr>
      <w:numPr>
        <w:numId w:val="5"/>
      </w:numPr>
    </w:pPr>
  </w:style>
  <w:style w:type="paragraph" w:styleId="BlockText">
    <w:name w:val="Block Text"/>
    <w:basedOn w:val="Normal"/>
    <w:rsid w:val="00144E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E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E7A"/>
    <w:rPr>
      <w:sz w:val="16"/>
      <w:vertAlign w:val="superscript"/>
    </w:rPr>
  </w:style>
  <w:style w:type="character" w:customStyle="1" w:styleId="Symbols">
    <w:name w:val="Symbols"/>
    <w:basedOn w:val="DefaultParagraphFont"/>
    <w:rsid w:val="00144E7A"/>
    <w:rPr>
      <w:rFonts w:ascii="Symbol" w:hAnsi="Symbol"/>
    </w:rPr>
  </w:style>
  <w:style w:type="character" w:customStyle="1" w:styleId="MenuOptions">
    <w:name w:val="Menu Options"/>
    <w:basedOn w:val="DefaultParagraphFont"/>
    <w:rsid w:val="00144E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E7A"/>
    <w:rPr>
      <w:b/>
    </w:rPr>
  </w:style>
  <w:style w:type="character" w:customStyle="1" w:styleId="Underlined">
    <w:name w:val="Underlined"/>
    <w:basedOn w:val="DefaultParagraphFont"/>
    <w:rsid w:val="00144E7A"/>
    <w:rPr>
      <w:u w:val="single"/>
    </w:rPr>
  </w:style>
  <w:style w:type="paragraph" w:customStyle="1" w:styleId="TableBodyTextRight">
    <w:name w:val="Table Body Text Right"/>
    <w:basedOn w:val="TableBodyText"/>
    <w:rsid w:val="00144E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E7A"/>
    <w:rPr>
      <w:sz w:val="18"/>
    </w:rPr>
  </w:style>
  <w:style w:type="paragraph" w:customStyle="1" w:styleId="BodySmallRight">
    <w:name w:val="Body Small Right"/>
    <w:basedOn w:val="BodyTextRight"/>
    <w:rsid w:val="00144E7A"/>
    <w:rPr>
      <w:sz w:val="18"/>
      <w:szCs w:val="18"/>
    </w:rPr>
  </w:style>
  <w:style w:type="paragraph" w:customStyle="1" w:styleId="MarginEdition">
    <w:name w:val="Margin Edition"/>
    <w:basedOn w:val="MarginNote"/>
    <w:rsid w:val="00144E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E7A"/>
    <w:rPr>
      <w:sz w:val="2"/>
      <w:szCs w:val="2"/>
    </w:rPr>
  </w:style>
  <w:style w:type="character" w:customStyle="1" w:styleId="Small">
    <w:name w:val="Small"/>
    <w:basedOn w:val="DefaultParagraphFont"/>
    <w:rsid w:val="00144E7A"/>
    <w:rPr>
      <w:sz w:val="16"/>
    </w:rPr>
  </w:style>
  <w:style w:type="paragraph" w:customStyle="1" w:styleId="WideTable">
    <w:name w:val="Wide Table"/>
    <w:basedOn w:val="Normal"/>
    <w:rsid w:val="00144E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E7A"/>
  </w:style>
  <w:style w:type="paragraph" w:styleId="Quote">
    <w:name w:val="Quote"/>
    <w:basedOn w:val="Heading1"/>
    <w:link w:val="QuoteChar"/>
    <w:qFormat/>
    <w:rsid w:val="00144E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E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E7A"/>
    <w:pPr>
      <w:pageBreakBefore/>
    </w:pPr>
  </w:style>
  <w:style w:type="paragraph" w:customStyle="1" w:styleId="Border">
    <w:name w:val="Border"/>
    <w:basedOn w:val="Normal"/>
    <w:qFormat/>
    <w:rsid w:val="00144E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E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E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E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E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E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E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E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E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E7A"/>
    <w:rPr>
      <w:u w:val="single"/>
    </w:rPr>
  </w:style>
  <w:style w:type="character" w:customStyle="1" w:styleId="BoldandItalics">
    <w:name w:val="Bold and Italics"/>
    <w:qFormat/>
    <w:rsid w:val="00144E7A"/>
    <w:rPr>
      <w:b/>
      <w:i/>
      <w:u w:val="none"/>
    </w:rPr>
  </w:style>
  <w:style w:type="paragraph" w:styleId="BalloonText">
    <w:name w:val="Balloon Text"/>
    <w:basedOn w:val="Normal"/>
    <w:link w:val="BalloonTextChar"/>
    <w:rsid w:val="00144E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E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E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E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E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E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E7A"/>
    <w:pPr>
      <w:spacing w:before="0" w:after="0"/>
    </w:pPr>
  </w:style>
  <w:style w:type="paragraph" w:customStyle="1" w:styleId="BodyTextBold">
    <w:name w:val="Body Text Bold"/>
    <w:basedOn w:val="BodyText"/>
    <w:qFormat/>
    <w:rsid w:val="00144E7A"/>
    <w:rPr>
      <w:b/>
    </w:rPr>
  </w:style>
  <w:style w:type="character" w:styleId="Hyperlink">
    <w:name w:val="Hyperlink"/>
    <w:basedOn w:val="DefaultParagraphFont"/>
    <w:uiPriority w:val="99"/>
    <w:unhideWhenUsed/>
    <w:rsid w:val="006614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3159</Characters>
  <Application>Microsoft Office Word</Application>
  <DocSecurity>0</DocSecurity>
  <Lines>150</Lines>
  <Paragraphs>77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TLIB0043 Pack-up mobile crane tools and lifting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