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208" w:rsidP="009C7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TLIB0043 Pack-up mobile crane tools and lifting equipment</w:t>
      </w:r>
      <w:r>
        <w:fldChar w:fldCharType="end"/>
      </w:r>
    </w:p>
    <w:p w:rsidR="009C7208" w:rsidP="009C7208">
      <w:pPr>
        <w:pStyle w:val="Version"/>
        <w:sectPr w:rsidSect="00BB2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457" w:rsidP="00BB2457">
      <w:pPr>
        <w:pStyle w:val="SuperHeading"/>
      </w:pPr>
      <w:r w:rsidRPr="00BB2457">
        <w:t>TLIB0043 Pack-up mobile crane tools and lifting equipment</w:t>
      </w:r>
    </w:p>
    <w:p w:rsidR="00000000" w:rsidRPr="00BB2457" w:rsidP="00BB2457">
      <w:pPr>
        <w:pStyle w:val="Heading1"/>
      </w:pPr>
      <w:bookmarkStart w:id="1" w:name="O_1240326"/>
      <w:bookmarkEnd w:id="1"/>
      <w:r w:rsidRPr="00BB24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Release 1</w:t>
            </w:r>
            <w:r w:rsidRPr="00BB2457">
              <w:t>. This is the first release of this unit of competency in the TLI Transport and Logistics Training Package.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2" w:name="O_1240327"/>
      <w:bookmarkEnd w:id="2"/>
      <w:r w:rsidRPr="00BB24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This unit involves the skills and knowledge required to pack-up a m</w:t>
            </w:r>
            <w:r w:rsidRPr="00BB2457">
              <w:t>obile crane and store tools and lifting equipment in accordance with workplace procedures, environmental requirements and manufacturer specifications.</w:t>
            </w:r>
          </w:p>
          <w:p w:rsidR="00000000" w:rsidRPr="00BB2457" w:rsidP="00BB2457">
            <w:pPr>
              <w:pStyle w:val="BodyText"/>
            </w:pPr>
            <w:r w:rsidRPr="00BB2457">
              <w:t>It includes inspecting tools and lifting equipment, securing outriggers, packing and storing tools and eq</w:t>
            </w:r>
            <w:r w:rsidRPr="00BB2457">
              <w:t>uipment, and completing necessary records.</w:t>
            </w:r>
          </w:p>
          <w:p w:rsidR="00000000" w:rsidRPr="00BB2457" w:rsidP="00BB2457">
            <w:pPr>
              <w:pStyle w:val="BodyText"/>
            </w:pPr>
            <w:r w:rsidRPr="00BB2457">
              <w:t>Work is performed with limited or minimum supervision.</w:t>
            </w:r>
          </w:p>
          <w:p w:rsidR="00000000" w:rsidRPr="00BB2457" w:rsidP="00BB2457">
            <w:pPr>
              <w:pStyle w:val="BodyText"/>
            </w:pPr>
            <w:r w:rsidRPr="00BB2457">
              <w:t>People achieving competence in this unit must hold the relevant high risk work licence prior to undertaking mobile crane operation, dogging or rigging work.</w:t>
            </w:r>
          </w:p>
          <w:p w:rsidR="00000000" w:rsidRPr="00BB2457" w:rsidP="00BB2457">
            <w:pPr>
              <w:pStyle w:val="BodyText"/>
            </w:pPr>
            <w:r w:rsidRPr="00BB2457">
              <w:t>W</w:t>
            </w:r>
            <w:r w:rsidRPr="00BB2457">
              <w:t>ork must be carried out in compliance with the relevant state/territory authority mobile crane operations licence/permit requirements and regulations, codes of practice, rules and/or guidelines.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3" w:name="O_1240328"/>
      <w:bookmarkEnd w:id="3"/>
      <w:r w:rsidRPr="00BB24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Not applicable.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4" w:name="O_1240329"/>
      <w:bookmarkEnd w:id="4"/>
      <w:r w:rsidRPr="00BB24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B – Equipment Checking and Maintenance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5" w:name="O_1240330"/>
      <w:bookmarkEnd w:id="5"/>
      <w:r w:rsidRPr="00BB24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Mobile Crane.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6" w:name="O_1240331"/>
      <w:bookmarkEnd w:id="6"/>
      <w:r w:rsidRPr="00BB245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46"/>
        <w:gridCol w:w="2757"/>
        <w:gridCol w:w="1509"/>
        <w:gridCol w:w="4485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ELEMENTS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PERFORMANCE CRITERIA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Elements describe the essential outcomes.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Performance criteria describe the performance needed to demonstrate achievement of the element.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1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Inspect lifting equipment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1.1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Job hazards are identified and required action is taken to minimise, control or eliminate identified hazards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1.2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 xml:space="preserve">Operation </w:t>
            </w:r>
            <w:r w:rsidRPr="00BB2457">
              <w:t xml:space="preserve">plan, safe work method statement and other work specifications are reviewed and followed 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1.3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Crane crew and relevant personnel are briefed in accordance with operation plan and safe work method statement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1.4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Damaged and defective lifting equipment is tagged and segregated for testing, repair or disposal by a competent person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2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Secure outriggers or attachments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2.1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 xml:space="preserve">Outriggers, counterweights or attachments are secured and stowed in accordance with manufacturer </w:t>
            </w:r>
            <w:r w:rsidRPr="00BB2457">
              <w:t xml:space="preserve">specifications and operation plan 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2.2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Outrigger or attachments packing is dismantled and stowed securely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3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Pack and store tools and lifting equipment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3.1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Lifting equipment is cleaned as required and stored appropriately in accordance with workplace procedures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3.2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Additional lifting equipment is returned to depot, marked off and stored in accordance with workplace procedures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3.3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Travel path is confirme</w:t>
            </w:r>
            <w:r w:rsidRPr="00BB2457">
              <w:t>d with operation plan, safe work method statement and other work specifications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3.4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Mobile crane is configured for travel in accordance with workplace procedures and manufacturer specifications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4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Complete records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4.1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Workplace documentation is completed in accordance with workplace procedures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>
            <w:pPr>
              <w:pStyle w:val="BodyText"/>
              <w:keepLines w:val="0"/>
              <w:spacing w:before="0" w:after="0"/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rPr>
                <w:rStyle w:val="SpecialBold"/>
              </w:rPr>
              <w:t>4.2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Required workplace records are updated and processed accurately and promptly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7" w:name="O_1240332"/>
      <w:bookmarkEnd w:id="7"/>
      <w:r w:rsidRPr="00BB24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 xml:space="preserve">Foundation skills </w:t>
            </w:r>
            <w:r w:rsidRPr="00BB2457">
              <w:t>essential to performance are explicit in the performance criteria of this unit of competency.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8" w:name="O_1240333"/>
      <w:bookmarkEnd w:id="8"/>
      <w:r w:rsidRPr="00BB24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Range is restricted to essential operating conditions and any other variables essential to the work environment.</w:t>
            </w:r>
          </w:p>
          <w:p w:rsidR="00000000" w:rsidRPr="00BB2457" w:rsidP="00BB2457">
            <w:pPr>
              <w:pStyle w:val="BodyText"/>
            </w:pPr>
            <w:r w:rsidRPr="00BB2457">
              <w:t>Non-esse</w:t>
            </w:r>
            <w:r w:rsidRPr="00BB2457">
              <w:t>ntial conditions can be found in the TLI Transport and Logistics Training Package Companion Volume Implementation Guide.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9" w:name="O_1240334"/>
      <w:bookmarkEnd w:id="9"/>
      <w:r w:rsidRPr="00BB24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>This unit replaces and is equivalent to TLIB3016 De-rig, pack and store tools and equipment.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10" w:name="O_1240341"/>
      <w:bookmarkEnd w:id="10"/>
      <w:r w:rsidRPr="00BB2457">
        <w:t>Links</w:t>
      </w:r>
    </w:p>
    <w:p w:rsidR="00000000" w:rsidRPr="00BB2457" w:rsidP="009C7208">
      <w:pPr>
        <w:pStyle w:val="BodyText"/>
      </w:pPr>
      <w:r w:rsidRPr="00BB2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24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B2457" w:rsidP="009C7208">
      <w:pPr>
        <w:pStyle w:val="BodyText"/>
        <w:sectPr w:rsidSect="00BB24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457" w:rsidP="00BB2457">
      <w:pPr>
        <w:pStyle w:val="SuperHeading"/>
      </w:pPr>
      <w:r w:rsidRPr="00BB2457">
        <w:t>Assessment Requirements for TLIB0043 Pack-up mobile crane tools and lifting equipment</w:t>
      </w:r>
    </w:p>
    <w:p w:rsidR="00000000" w:rsidRPr="00BB2457" w:rsidP="00BB2457">
      <w:pPr>
        <w:pStyle w:val="Heading1"/>
      </w:pPr>
      <w:bookmarkStart w:id="11" w:name="O_1240336"/>
      <w:bookmarkEnd w:id="11"/>
      <w:r w:rsidRPr="00BB24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rPr>
                <w:rStyle w:val="SpecialBold"/>
              </w:rPr>
              <w:t>Release 1</w:t>
            </w:r>
            <w:r w:rsidRPr="00BB2457">
              <w:t>. This is the first release of this unit of competency in the TLI</w:t>
            </w:r>
            <w:r w:rsidRPr="00BB2457">
              <w:t xml:space="preserve"> Transport and Logistics Training Package.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12" w:name="O_1240337"/>
      <w:bookmarkEnd w:id="12"/>
      <w:r w:rsidRPr="00BB24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Evidence required to demonstrate competence in this unit must be relevant to and satisfy all of the requirements of the elements and performance criteria on at least one o</w:t>
            </w:r>
            <w:r w:rsidRPr="00BB2457">
              <w:t>ccasion and include: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ListBullet"/>
            </w:pPr>
            <w:r w:rsidRPr="00BB2457">
              <w:t>applying precautions and required actions to minimise, control or eliminate identified hazards</w:t>
            </w:r>
          </w:p>
          <w:p w:rsidR="00000000" w:rsidRPr="00BB2457" w:rsidP="00BB2457">
            <w:pPr>
              <w:pStyle w:val="ListBullet"/>
            </w:pPr>
            <w:r w:rsidRPr="00BB2457">
              <w:t>applying specific crane legislation and workplace procedures</w:t>
            </w:r>
          </w:p>
          <w:p w:rsidR="00000000" w:rsidRPr="00BB2457" w:rsidP="00BB2457">
            <w:pPr>
              <w:pStyle w:val="ListBullet"/>
            </w:pPr>
            <w:r w:rsidRPr="00BB2457">
              <w:t xml:space="preserve">checking condition of lifting equipment </w:t>
            </w:r>
          </w:p>
          <w:p w:rsidR="00000000" w:rsidRPr="00BB2457" w:rsidP="00BB2457">
            <w:pPr>
              <w:pStyle w:val="ListBullet"/>
            </w:pPr>
            <w:r w:rsidRPr="00BB2457">
              <w:t xml:space="preserve">communicating effectively and working collaboratively with others </w:t>
            </w:r>
          </w:p>
          <w:p w:rsidR="00000000" w:rsidRPr="00BB2457" w:rsidP="00BB2457">
            <w:pPr>
              <w:pStyle w:val="ListBullet"/>
            </w:pPr>
            <w:r w:rsidRPr="00BB2457">
              <w:t>identifying and correctly using lifting equipment, processes and procedures</w:t>
            </w:r>
          </w:p>
          <w:p w:rsidR="00000000" w:rsidRPr="00BB2457" w:rsidP="00BB2457">
            <w:pPr>
              <w:pStyle w:val="ListBullet"/>
            </w:pPr>
            <w:r w:rsidRPr="00BB2457">
              <w:t>interpreting and following operational instructions and prioritising work</w:t>
            </w:r>
          </w:p>
          <w:p w:rsidR="00000000" w:rsidRPr="00BB2457" w:rsidP="00BB2457">
            <w:pPr>
              <w:pStyle w:val="ListBullet"/>
            </w:pPr>
            <w:r w:rsidRPr="00BB2457">
              <w:t>operating and adapting to differences i</w:t>
            </w:r>
            <w:r w:rsidRPr="00BB2457">
              <w:t>n lifting equipment in accordance with workplace procedures and manufacturer specifications</w:t>
            </w:r>
          </w:p>
          <w:p w:rsidR="00000000" w:rsidRPr="00BB2457" w:rsidP="00BB2457">
            <w:pPr>
              <w:pStyle w:val="ListBullet"/>
            </w:pPr>
            <w:r w:rsidRPr="00BB2457">
              <w:t>reading and interpreting relevant instructions, workplace procedures, information and signs</w:t>
            </w:r>
          </w:p>
          <w:p w:rsidR="00000000" w:rsidRPr="00BB2457" w:rsidP="00BB2457">
            <w:pPr>
              <w:pStyle w:val="ListBullet"/>
            </w:pPr>
            <w:r w:rsidRPr="00BB2457">
              <w:t xml:space="preserve">reporting and/or rectifying identified problems, faults or malfunctions </w:t>
            </w:r>
            <w:r w:rsidRPr="00BB2457">
              <w:t>promptly in accordance with regulatory requirements and workplace procedures.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13" w:name="O_1240338"/>
      <w:bookmarkEnd w:id="13"/>
      <w:r w:rsidRPr="00BB24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457">
            <w:pPr>
              <w:pStyle w:val="BodyText"/>
              <w:rPr>
                <w:lang w:val="en-NZ"/>
              </w:rPr>
            </w:pPr>
            <w:r w:rsidRPr="00BB245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ListBullet"/>
            </w:pPr>
            <w:r w:rsidRPr="00BB2457">
              <w:t>application of relevant guidelines, codes of practice or other legislative</w:t>
            </w:r>
            <w:r w:rsidRPr="00BB2457">
              <w:t xml:space="preserve"> requirements relating to the safe use of machinery and lifting equipment</w:t>
            </w:r>
          </w:p>
          <w:p w:rsidR="00000000" w:rsidRPr="00BB2457" w:rsidP="00BB2457">
            <w:pPr>
              <w:pStyle w:val="ListBullet"/>
            </w:pPr>
            <w:r w:rsidRPr="00BB2457">
              <w:t>defects that may be identified when de-rigging a crane and appropriate actions that should be taken</w:t>
            </w:r>
          </w:p>
          <w:p w:rsidR="00000000" w:rsidRPr="00BB2457" w:rsidP="00BB2457">
            <w:pPr>
              <w:pStyle w:val="ListBullet"/>
            </w:pPr>
            <w:r w:rsidRPr="00BB2457">
              <w:t xml:space="preserve">risk management consistent with the principle of hierarchy of risk control </w:t>
            </w:r>
          </w:p>
          <w:p w:rsidR="00000000" w:rsidRPr="00BB2457" w:rsidP="00BB2457">
            <w:pPr>
              <w:pStyle w:val="ListBullet"/>
            </w:pPr>
            <w:r w:rsidRPr="00BB2457">
              <w:t>high r</w:t>
            </w:r>
            <w:r w:rsidRPr="00BB2457">
              <w:t>isk work and mobile crane licence requirements</w:t>
            </w:r>
          </w:p>
          <w:p w:rsidR="00000000" w:rsidRPr="00BB2457" w:rsidP="00BB2457">
            <w:pPr>
              <w:pStyle w:val="ListBullet"/>
            </w:pPr>
            <w:r w:rsidRPr="00BB2457">
              <w:t>mobile crane applications, capacities, configurations, safety hazards and control mechanisms</w:t>
            </w:r>
          </w:p>
          <w:p w:rsidR="00000000" w:rsidRPr="00BB2457" w:rsidP="00BB2457">
            <w:pPr>
              <w:pStyle w:val="ListBullet"/>
            </w:pPr>
            <w:r w:rsidRPr="00BB2457">
              <w:t>operational procedures for crane crews concerning de-rigging of cranes, and packing and storing tools and lifting eq</w:t>
            </w:r>
            <w:r w:rsidRPr="00BB2457">
              <w:t>uipment</w:t>
            </w:r>
          </w:p>
          <w:p w:rsidR="00000000" w:rsidRPr="00BB2457" w:rsidP="00BB2457">
            <w:pPr>
              <w:pStyle w:val="ListBullet"/>
            </w:pPr>
            <w:r w:rsidRPr="00BB2457">
              <w:t>relevant road rules, regulations, permit and licence requirements for mobile crane operation.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14" w:name="O_1240339"/>
      <w:bookmarkEnd w:id="14"/>
      <w:r w:rsidRPr="00BB24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2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457" w:rsidP="00BB2457">
            <w:pPr>
              <w:pStyle w:val="BodyText"/>
            </w:pPr>
            <w:r w:rsidRPr="00BB2457">
              <w:t xml:space="preserve">Assessors must hold credentials specified within the Standards for Registered Training Organisations current at the time of assessment. </w:t>
            </w:r>
          </w:p>
          <w:p w:rsidR="00000000" w:rsidRPr="00BB2457" w:rsidP="00BB2457">
            <w:pPr>
              <w:pStyle w:val="BodyText"/>
            </w:pPr>
            <w:r w:rsidRPr="00BB2457">
              <w:t>Assessment must satisfy the Principles of Assessment and Rules of Evidence and all regulatory requirements included wit</w:t>
            </w:r>
            <w:r w:rsidRPr="00BB2457">
              <w:t>hin the Standards for Registered Training Organisations current at the time of assessment.</w:t>
            </w:r>
          </w:p>
          <w:p w:rsidR="00000000" w:rsidRPr="00BB2457" w:rsidP="00BB2457">
            <w:pPr>
              <w:pStyle w:val="BodyText"/>
            </w:pPr>
            <w:r w:rsidRPr="00BB2457">
              <w:t>Assessment must occur in workplace operational situations where it is appropriate to do so; where this is not appropriate, assessment must occur in simulated workpla</w:t>
            </w:r>
            <w:r w:rsidRPr="00BB2457">
              <w:t xml:space="preserve">ce operational situations that replicate workplace conditions. </w:t>
            </w:r>
          </w:p>
          <w:p w:rsidR="00000000" w:rsidRPr="00BB2457" w:rsidP="00BB2457">
            <w:pPr>
              <w:pStyle w:val="BodyText"/>
            </w:pPr>
            <w:r w:rsidRPr="00BB245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B2457" w:rsidP="00BB2457">
            <w:pPr>
              <w:pStyle w:val="BodyText"/>
            </w:pPr>
            <w:r w:rsidRPr="00BB2457">
              <w:t>Resources for assessment</w:t>
            </w:r>
            <w:r w:rsidRPr="00BB2457">
              <w:t xml:space="preserve"> must include access to:</w:t>
            </w:r>
          </w:p>
          <w:p w:rsidR="00000000" w:rsidRPr="00BB2457" w:rsidP="00BB2457">
            <w:pPr>
              <w:pStyle w:val="ListBullet"/>
            </w:pPr>
            <w:r w:rsidRPr="00BB2457">
              <w:t>a range of relevant exercises, case studies and/or simulations</w:t>
            </w:r>
          </w:p>
          <w:p w:rsidR="00000000" w:rsidRPr="00BB2457" w:rsidP="00BB2457">
            <w:pPr>
              <w:pStyle w:val="ListBullet"/>
            </w:pPr>
            <w:r w:rsidRPr="00BB2457">
              <w:t>applicable documentation, including workplace procedures, regulations, codes of practice and operation manuals</w:t>
            </w:r>
          </w:p>
          <w:p w:rsidR="00000000" w:rsidRPr="00BB2457" w:rsidP="00BB2457">
            <w:pPr>
              <w:pStyle w:val="ListBullet"/>
            </w:pPr>
            <w:r w:rsidRPr="00BB2457">
              <w:t>relevant materials, tools, equipment and personal protec</w:t>
            </w:r>
            <w:r w:rsidRPr="00BB2457">
              <w:t>tive equipment (PPE) currently used in industry.</w:t>
            </w:r>
          </w:p>
        </w:tc>
      </w:tr>
    </w:tbl>
    <w:p w:rsidR="00000000" w:rsidRPr="00BB2457" w:rsidP="00BB2457">
      <w:pPr>
        <w:pStyle w:val="NoPaddingFontSize1"/>
      </w:pPr>
    </w:p>
    <w:p w:rsidR="00000000" w:rsidRPr="00BB2457" w:rsidP="00BB2457">
      <w:pPr>
        <w:pStyle w:val="AllowPageBreak"/>
      </w:pPr>
    </w:p>
    <w:p w:rsidR="00000000" w:rsidRPr="00BB2457" w:rsidP="00BB2457">
      <w:pPr>
        <w:pStyle w:val="Heading1"/>
      </w:pPr>
      <w:bookmarkStart w:id="15" w:name="O_1240342"/>
      <w:bookmarkEnd w:id="15"/>
      <w:r w:rsidRPr="00BB2457">
        <w:t>Links</w:t>
      </w:r>
    </w:p>
    <w:p w:rsidR="00000000" w:rsidRPr="00BB2457" w:rsidP="009C7208">
      <w:pPr>
        <w:pStyle w:val="BodyText"/>
      </w:pPr>
      <w:r w:rsidRPr="00BB2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24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B2457" w:rsidP="00BB2457"/>
    <w:sectPr w:rsidSect="00BB24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 w:rsidRPr="009C7208" w:rsidP="009C7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08" w:rsidP="00BB2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208" w:rsidP="00BB2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7208" w:rsidP="00BB24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 w:rsidP="00BB2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7208">
      <w:t>Approved</w:t>
    </w:r>
    <w:r w:rsidR="009C72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72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7208">
      <w:rPr>
        <w:noProof/>
      </w:rPr>
      <w:t>4</w:t>
    </w:r>
    <w:r>
      <w:rPr>
        <w:noProof/>
      </w:rPr>
      <w:fldChar w:fldCharType="end"/>
    </w:r>
  </w:p>
  <w:p w:rsidR="00BB2457" w:rsidP="00BB2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72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7208">
      <w:t>Industry Skills Australia</w:t>
    </w:r>
    <w:r w:rsidR="009C7208">
      <w:fldChar w:fldCharType="end"/>
    </w:r>
  </w:p>
  <w:p w:rsidR="00BB2457" w:rsidP="00BB2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457" w:rsidRPr="009C7208" w:rsidP="009C7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08" w:rsidRPr="002D2AF8" w:rsidP="00BB2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TLIB0043 Pack-up mobile crane tools and lifting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7208" w:rsidP="00BB24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57" w:rsidRPr="002D2AF8" w:rsidP="00BB2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7208">
      <w:t>TLIB0043 Pack-up mobile crane tools and lifting equipment</w:t>
    </w:r>
    <w:r w:rsidR="009C72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7208">
      <w:rPr>
        <w:noProof/>
      </w:rPr>
      <w:t>2 March 2025</w:t>
    </w:r>
    <w:r>
      <w:fldChar w:fldCharType="end"/>
    </w:r>
  </w:p>
  <w:p w:rsidR="00BB2457" w:rsidP="00BB2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06F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3EC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457"/>
  </w:style>
  <w:style w:type="character" w:customStyle="1" w:styleId="Heading1Char">
    <w:name w:val="Heading 1 Char"/>
    <w:basedOn w:val="DefaultParagraphFont"/>
    <w:link w:val="Heading1"/>
    <w:rsid w:val="00BB2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4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457"/>
    <w:rPr>
      <w:b/>
      <w:spacing w:val="0"/>
    </w:rPr>
  </w:style>
  <w:style w:type="paragraph" w:customStyle="1" w:styleId="SuperHeading">
    <w:name w:val="SuperHeading"/>
    <w:basedOn w:val="Normal"/>
    <w:rsid w:val="00BB2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2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4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457"/>
    <w:rPr>
      <w:i/>
    </w:rPr>
  </w:style>
  <w:style w:type="paragraph" w:styleId="Caption">
    <w:name w:val="caption"/>
    <w:basedOn w:val="BodyText"/>
    <w:next w:val="Normal"/>
    <w:qFormat/>
    <w:rsid w:val="00BB2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457"/>
  </w:style>
  <w:style w:type="paragraph" w:styleId="TableofFigures">
    <w:name w:val="table of figures"/>
    <w:basedOn w:val="Normal"/>
    <w:next w:val="Normal"/>
    <w:semiHidden/>
    <w:rsid w:val="00BB2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4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2457"/>
    <w:rPr>
      <w:rFonts w:ascii="Wingdings" w:hAnsi="Wingdings"/>
    </w:rPr>
  </w:style>
  <w:style w:type="paragraph" w:customStyle="1" w:styleId="TableHeading">
    <w:name w:val="Table Heading"/>
    <w:basedOn w:val="HeadingBase"/>
    <w:rsid w:val="00BB2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457"/>
    <w:rPr>
      <w:color w:val="0033CC"/>
      <w:u w:val="none"/>
    </w:rPr>
  </w:style>
  <w:style w:type="paragraph" w:customStyle="1" w:styleId="BodyTextRight">
    <w:name w:val="Body Text Right"/>
    <w:basedOn w:val="BodyText"/>
    <w:rsid w:val="00BB2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4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457"/>
    <w:rPr>
      <w:sz w:val="32"/>
    </w:rPr>
  </w:style>
  <w:style w:type="paragraph" w:customStyle="1" w:styleId="HeadingProcedure">
    <w:name w:val="Heading Procedure"/>
    <w:basedOn w:val="HeadingBase"/>
    <w:next w:val="Normal"/>
    <w:rsid w:val="00BB2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457"/>
    <w:pPr>
      <w:spacing w:before="60" w:after="60"/>
    </w:pPr>
  </w:style>
  <w:style w:type="paragraph" w:styleId="ListContinue">
    <w:name w:val="List Continue"/>
    <w:basedOn w:val="List"/>
    <w:rsid w:val="00BB2457"/>
    <w:pPr>
      <w:ind w:firstLine="0"/>
    </w:pPr>
  </w:style>
  <w:style w:type="paragraph" w:customStyle="1" w:styleId="ListNote">
    <w:name w:val="List Note"/>
    <w:basedOn w:val="List"/>
    <w:rsid w:val="00BB2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457"/>
    <w:rPr>
      <w:rFonts w:ascii="Courier New" w:hAnsi="Courier New"/>
    </w:rPr>
  </w:style>
  <w:style w:type="paragraph" w:customStyle="1" w:styleId="NoteBullet">
    <w:name w:val="Note Bullet"/>
    <w:basedOn w:val="Note"/>
    <w:rsid w:val="00BB2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4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2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457"/>
    <w:rPr>
      <w:b/>
      <w:smallCaps/>
    </w:rPr>
  </w:style>
  <w:style w:type="paragraph" w:customStyle="1" w:styleId="TableListNumber">
    <w:name w:val="Table List Number"/>
    <w:basedOn w:val="ListNumber"/>
    <w:rsid w:val="00BB2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457"/>
    <w:pPr>
      <w:numPr>
        <w:numId w:val="8"/>
      </w:numPr>
    </w:pPr>
  </w:style>
  <w:style w:type="paragraph" w:customStyle="1" w:styleId="ListAlpha2">
    <w:name w:val="List Alpha 2"/>
    <w:basedOn w:val="List2"/>
    <w:rsid w:val="00BB2457"/>
    <w:pPr>
      <w:numPr>
        <w:numId w:val="7"/>
      </w:numPr>
    </w:pPr>
  </w:style>
  <w:style w:type="paragraph" w:styleId="List2">
    <w:name w:val="List 2"/>
    <w:basedOn w:val="BodyText"/>
    <w:rsid w:val="00BB2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4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4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2457"/>
    <w:pPr>
      <w:numPr>
        <w:numId w:val="3"/>
      </w:numPr>
    </w:pPr>
  </w:style>
  <w:style w:type="paragraph" w:styleId="ListContinue2">
    <w:name w:val="List Continue 2"/>
    <w:basedOn w:val="List2"/>
    <w:rsid w:val="00BB2457"/>
    <w:pPr>
      <w:ind w:firstLine="0"/>
    </w:pPr>
  </w:style>
  <w:style w:type="paragraph" w:styleId="ListContinue3">
    <w:name w:val="List Continue 3"/>
    <w:basedOn w:val="List3"/>
    <w:rsid w:val="00BB2457"/>
    <w:pPr>
      <w:ind w:left="1021" w:firstLine="0"/>
    </w:pPr>
  </w:style>
  <w:style w:type="paragraph" w:styleId="ListContinue4">
    <w:name w:val="List Continue 4"/>
    <w:basedOn w:val="List4"/>
    <w:rsid w:val="00BB2457"/>
    <w:pPr>
      <w:ind w:firstLine="0"/>
    </w:pPr>
  </w:style>
  <w:style w:type="paragraph" w:styleId="ListContinue5">
    <w:name w:val="List Continue 5"/>
    <w:basedOn w:val="List5"/>
    <w:rsid w:val="00BB2457"/>
    <w:pPr>
      <w:ind w:firstLine="0"/>
    </w:pPr>
  </w:style>
  <w:style w:type="paragraph" w:styleId="ListNumber3">
    <w:name w:val="List Number 3"/>
    <w:basedOn w:val="List3"/>
    <w:rsid w:val="00BB2457"/>
    <w:pPr>
      <w:numPr>
        <w:numId w:val="4"/>
      </w:numPr>
    </w:pPr>
  </w:style>
  <w:style w:type="paragraph" w:styleId="ListNumber4">
    <w:name w:val="List Number 4"/>
    <w:basedOn w:val="List4"/>
    <w:rsid w:val="00BB2457"/>
    <w:pPr>
      <w:numPr>
        <w:numId w:val="5"/>
      </w:numPr>
    </w:pPr>
  </w:style>
  <w:style w:type="paragraph" w:styleId="ListNumber5">
    <w:name w:val="List Number 5"/>
    <w:basedOn w:val="List5"/>
    <w:rsid w:val="00BB2457"/>
    <w:pPr>
      <w:numPr>
        <w:numId w:val="6"/>
      </w:numPr>
    </w:pPr>
  </w:style>
  <w:style w:type="paragraph" w:styleId="BlockText">
    <w:name w:val="Block Text"/>
    <w:basedOn w:val="Normal"/>
    <w:rsid w:val="00BB2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457"/>
    <w:rPr>
      <w:sz w:val="16"/>
      <w:vertAlign w:val="superscript"/>
    </w:rPr>
  </w:style>
  <w:style w:type="character" w:customStyle="1" w:styleId="Symbols">
    <w:name w:val="Symbols"/>
    <w:basedOn w:val="DefaultParagraphFont"/>
    <w:rsid w:val="00BB2457"/>
    <w:rPr>
      <w:rFonts w:ascii="Symbol" w:hAnsi="Symbol"/>
    </w:rPr>
  </w:style>
  <w:style w:type="character" w:customStyle="1" w:styleId="MenuOptions">
    <w:name w:val="Menu Options"/>
    <w:basedOn w:val="DefaultParagraphFont"/>
    <w:rsid w:val="00BB2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457"/>
    <w:rPr>
      <w:b/>
    </w:rPr>
  </w:style>
  <w:style w:type="character" w:customStyle="1" w:styleId="Underlined">
    <w:name w:val="Underlined"/>
    <w:basedOn w:val="DefaultParagraphFont"/>
    <w:rsid w:val="00BB2457"/>
    <w:rPr>
      <w:u w:val="single"/>
    </w:rPr>
  </w:style>
  <w:style w:type="paragraph" w:customStyle="1" w:styleId="TableBodyTextRight">
    <w:name w:val="Table Body Text Right"/>
    <w:basedOn w:val="TableBodyText"/>
    <w:rsid w:val="00BB2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457"/>
    <w:rPr>
      <w:sz w:val="18"/>
    </w:rPr>
  </w:style>
  <w:style w:type="paragraph" w:customStyle="1" w:styleId="BodySmallRight">
    <w:name w:val="Body Small Right"/>
    <w:basedOn w:val="BodyTextRight"/>
    <w:rsid w:val="00BB2457"/>
    <w:rPr>
      <w:sz w:val="18"/>
      <w:szCs w:val="18"/>
    </w:rPr>
  </w:style>
  <w:style w:type="paragraph" w:customStyle="1" w:styleId="MarginEdition">
    <w:name w:val="Margin Edition"/>
    <w:basedOn w:val="MarginNote"/>
    <w:rsid w:val="00BB2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457"/>
    <w:rPr>
      <w:sz w:val="2"/>
      <w:szCs w:val="2"/>
    </w:rPr>
  </w:style>
  <w:style w:type="character" w:customStyle="1" w:styleId="Small">
    <w:name w:val="Small"/>
    <w:basedOn w:val="DefaultParagraphFont"/>
    <w:rsid w:val="00BB2457"/>
    <w:rPr>
      <w:sz w:val="16"/>
    </w:rPr>
  </w:style>
  <w:style w:type="paragraph" w:customStyle="1" w:styleId="WideTable">
    <w:name w:val="Wide Table"/>
    <w:basedOn w:val="Normal"/>
    <w:rsid w:val="00BB2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457"/>
  </w:style>
  <w:style w:type="paragraph" w:styleId="Quote">
    <w:name w:val="Quote"/>
    <w:basedOn w:val="Heading1"/>
    <w:link w:val="QuoteChar"/>
    <w:qFormat/>
    <w:rsid w:val="00BB2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457"/>
    <w:pPr>
      <w:pageBreakBefore/>
    </w:pPr>
  </w:style>
  <w:style w:type="paragraph" w:customStyle="1" w:styleId="Border">
    <w:name w:val="Border"/>
    <w:basedOn w:val="Normal"/>
    <w:qFormat/>
    <w:rsid w:val="00BB2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457"/>
    <w:rPr>
      <w:u w:val="single"/>
    </w:rPr>
  </w:style>
  <w:style w:type="character" w:customStyle="1" w:styleId="BoldandItalics">
    <w:name w:val="Bold and Italics"/>
    <w:qFormat/>
    <w:rsid w:val="00BB2457"/>
    <w:rPr>
      <w:b/>
      <w:i/>
      <w:u w:val="none"/>
    </w:rPr>
  </w:style>
  <w:style w:type="paragraph" w:styleId="BalloonText">
    <w:name w:val="Balloon Text"/>
    <w:basedOn w:val="Normal"/>
    <w:link w:val="BalloonTextChar"/>
    <w:rsid w:val="00BB2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457"/>
    <w:pPr>
      <w:spacing w:before="0" w:after="0"/>
    </w:pPr>
  </w:style>
  <w:style w:type="paragraph" w:customStyle="1" w:styleId="BodyTextBold">
    <w:name w:val="Body Text Bold"/>
    <w:basedOn w:val="BodyText"/>
    <w:qFormat/>
    <w:rsid w:val="00BB2457"/>
    <w:rPr>
      <w:b/>
    </w:rPr>
  </w:style>
  <w:style w:type="character" w:styleId="Hyperlink">
    <w:name w:val="Hyperlink"/>
    <w:basedOn w:val="DefaultParagraphFont"/>
    <w:uiPriority w:val="99"/>
    <w:unhideWhenUsed/>
    <w:rsid w:val="009C7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6179</Characters>
  <Application>Microsoft Office Word</Application>
  <DocSecurity>0</DocSecurity>
  <Lines>213</Lines>
  <Paragraphs>116</Paragraphs>
  <ScaleCrop>false</ScaleCrop>
  <Company>Author-it Software Corporation Ltd.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TLIB0043 Pack-up mobile crane tools and lifting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