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5DA" w:rsidP="00BA55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TLIB0029 Conduct daily inspections on mobile cranes</w:t>
      </w:r>
      <w:r>
        <w:fldChar w:fldCharType="end"/>
      </w:r>
    </w:p>
    <w:p w:rsidR="00BA55DA" w:rsidP="00BA55DA">
      <w:pPr>
        <w:pStyle w:val="Version"/>
        <w:sectPr w:rsidSect="00787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F97" w:rsidP="00787F97">
      <w:pPr>
        <w:pStyle w:val="SuperHeading"/>
      </w:pPr>
      <w:r w:rsidRPr="00787F97">
        <w:t>TLIB0029 Conduct daily inspections on mobile cranes</w:t>
      </w:r>
    </w:p>
    <w:p w:rsidR="00000000" w:rsidRPr="00787F97" w:rsidP="00787F97">
      <w:pPr>
        <w:pStyle w:val="Heading1"/>
      </w:pPr>
      <w:bookmarkStart w:id="1" w:name="O_1240307"/>
      <w:bookmarkEnd w:id="1"/>
      <w:r w:rsidRPr="00787F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rPr>
                <w:rStyle w:val="SpecialBold"/>
              </w:rPr>
              <w:t>Release 1</w:t>
            </w:r>
            <w:r w:rsidRPr="00787F97">
              <w:t>. This is the first release of this unit of competency in the TLI Transport and Logistics Training Package.</w:t>
            </w:r>
          </w:p>
        </w:tc>
      </w:tr>
    </w:tbl>
    <w:p w:rsidR="00000000" w:rsidRPr="00787F97" w:rsidP="00787F97">
      <w:pPr>
        <w:pStyle w:val="NoPaddingFontSize1"/>
      </w:pPr>
    </w:p>
    <w:p w:rsidR="00000000" w:rsidRPr="00787F97" w:rsidP="00787F97">
      <w:pPr>
        <w:pStyle w:val="AllowPageBreak"/>
      </w:pPr>
    </w:p>
    <w:p w:rsidR="00000000" w:rsidRPr="00787F97" w:rsidP="00787F97">
      <w:pPr>
        <w:pStyle w:val="Heading1"/>
      </w:pPr>
      <w:bookmarkStart w:id="2" w:name="O_1240308"/>
      <w:bookmarkEnd w:id="2"/>
      <w:r w:rsidRPr="00787F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t>This unit involves the skills and knowledge required to carry out daily insp</w:t>
            </w:r>
            <w:r w:rsidRPr="00787F97">
              <w:t>ections on a mobile crane, in compliance with licence/permit requirements, regulations and work requirements in a variety of operational contexts.</w:t>
            </w:r>
          </w:p>
          <w:p w:rsidR="00000000" w:rsidRPr="00787F97" w:rsidP="00787F97">
            <w:pPr>
              <w:pStyle w:val="BodyText"/>
            </w:pPr>
            <w:r w:rsidRPr="00787F97">
              <w:t xml:space="preserve">It includes planning daily inspections, preparing and conducting pre-start operations and safety checks, and </w:t>
            </w:r>
            <w:r w:rsidRPr="00787F97">
              <w:t>completing workplace documentation entries.</w:t>
            </w:r>
          </w:p>
          <w:p w:rsidR="00000000" w:rsidRPr="00787F97" w:rsidP="00787F97">
            <w:pPr>
              <w:pStyle w:val="BodyText"/>
            </w:pPr>
            <w:r w:rsidRPr="00787F97">
              <w:t>This unit applies to daily inspections on mobile crane and is limited to lubrication, fluid, filter and accessory changing and checks for cracks, surface or structural faults or other damage.</w:t>
            </w:r>
          </w:p>
          <w:p w:rsidR="00000000" w:rsidRPr="00787F97" w:rsidP="00787F97">
            <w:pPr>
              <w:pStyle w:val="BodyText"/>
            </w:pPr>
            <w:r w:rsidRPr="00787F97">
              <w:t>Work is performed wi</w:t>
            </w:r>
            <w:r w:rsidRPr="00787F97">
              <w:t>th limited or minimum supervision.</w:t>
            </w:r>
          </w:p>
          <w:p w:rsidR="00000000" w:rsidRPr="00787F97" w:rsidP="00787F97">
            <w:pPr>
              <w:pStyle w:val="BodyText"/>
            </w:pPr>
            <w:r w:rsidRPr="00787F97">
              <w:t>People achieving competence in this unit must hold the relevant high risk work licence prior to undertaking mobile crane operation, dogging or rigging work.</w:t>
            </w:r>
          </w:p>
          <w:p w:rsidR="00000000" w:rsidRPr="00787F97" w:rsidP="00787F97">
            <w:pPr>
              <w:pStyle w:val="BodyText"/>
            </w:pPr>
            <w:r w:rsidRPr="00787F97">
              <w:t>Work must be carried out in compliance with the relevant state/t</w:t>
            </w:r>
            <w:r w:rsidRPr="00787F97">
              <w:t>erritory authority mobile crane operations licence/permit requirements and regulations, codes of practice, rules and/or guidelines.</w:t>
            </w:r>
          </w:p>
        </w:tc>
      </w:tr>
    </w:tbl>
    <w:p w:rsidR="00000000" w:rsidRPr="00787F97" w:rsidP="00787F97">
      <w:pPr>
        <w:pStyle w:val="NoPaddingFontSize1"/>
      </w:pPr>
    </w:p>
    <w:p w:rsidR="00000000" w:rsidRPr="00787F97" w:rsidP="00787F97">
      <w:pPr>
        <w:pStyle w:val="AllowPageBreak"/>
      </w:pPr>
    </w:p>
    <w:p w:rsidR="00000000" w:rsidRPr="00787F97" w:rsidP="00787F97">
      <w:pPr>
        <w:pStyle w:val="Heading1"/>
      </w:pPr>
      <w:bookmarkStart w:id="3" w:name="O_1240309"/>
      <w:bookmarkEnd w:id="3"/>
      <w:r w:rsidRPr="00787F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t>Not applicable.</w:t>
            </w:r>
          </w:p>
        </w:tc>
      </w:tr>
    </w:tbl>
    <w:p w:rsidR="00000000" w:rsidRPr="00787F97" w:rsidP="00787F97">
      <w:pPr>
        <w:pStyle w:val="NoPaddingFontSize1"/>
      </w:pPr>
    </w:p>
    <w:p w:rsidR="00000000" w:rsidRPr="00787F97" w:rsidP="00787F97">
      <w:pPr>
        <w:pStyle w:val="AllowPageBreak"/>
      </w:pPr>
    </w:p>
    <w:p w:rsidR="00000000" w:rsidRPr="00787F97" w:rsidP="00787F97">
      <w:pPr>
        <w:pStyle w:val="Heading1"/>
      </w:pPr>
      <w:bookmarkStart w:id="4" w:name="O_1240310"/>
      <w:bookmarkEnd w:id="4"/>
      <w:r w:rsidRPr="00787F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t>B – Equipment Checking and Mai</w:t>
            </w:r>
            <w:r w:rsidRPr="00787F97">
              <w:t>ntenance</w:t>
            </w:r>
          </w:p>
        </w:tc>
      </w:tr>
    </w:tbl>
    <w:p w:rsidR="00000000" w:rsidRPr="00787F97" w:rsidP="00787F97">
      <w:pPr>
        <w:pStyle w:val="NoPaddingFontSize1"/>
      </w:pPr>
    </w:p>
    <w:p w:rsidR="00000000" w:rsidRPr="00787F97" w:rsidP="00787F97">
      <w:pPr>
        <w:pStyle w:val="AllowPageBreak"/>
      </w:pPr>
    </w:p>
    <w:p w:rsidR="00000000" w:rsidRPr="00787F97" w:rsidP="00787F97">
      <w:pPr>
        <w:pStyle w:val="Heading1"/>
      </w:pPr>
      <w:bookmarkStart w:id="5" w:name="O_1240311"/>
      <w:bookmarkEnd w:id="5"/>
      <w:r w:rsidRPr="00787F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t>Mobile Crane.</w:t>
            </w:r>
          </w:p>
        </w:tc>
      </w:tr>
    </w:tbl>
    <w:p w:rsidR="00000000" w:rsidRPr="00787F97" w:rsidP="00787F97">
      <w:pPr>
        <w:pStyle w:val="NoPaddingFontSize1"/>
      </w:pPr>
    </w:p>
    <w:p w:rsidR="00000000" w:rsidRPr="00787F97" w:rsidP="00787F97">
      <w:pPr>
        <w:pStyle w:val="AllowPageBreak"/>
      </w:pPr>
    </w:p>
    <w:p w:rsidR="00000000" w:rsidRPr="00787F97" w:rsidP="00787F97">
      <w:pPr>
        <w:pStyle w:val="Heading1"/>
      </w:pPr>
      <w:bookmarkStart w:id="6" w:name="O_1240312"/>
      <w:bookmarkEnd w:id="6"/>
      <w:r w:rsidRPr="00787F9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99"/>
        <w:gridCol w:w="2823"/>
        <w:gridCol w:w="1446"/>
        <w:gridCol w:w="4530"/>
      </w:tblGrid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rPr>
                <w:rStyle w:val="SpecialBold"/>
              </w:rPr>
              <w:t>ELEMENTS</w:t>
            </w:r>
          </w:p>
        </w:tc>
        <w:tc>
          <w:tcPr>
            <w:tcW w:w="59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rPr>
                <w:rStyle w:val="SpecialBold"/>
              </w:rPr>
              <w:t>PERFORMANCE CRITERIA</w:t>
            </w:r>
          </w:p>
        </w:tc>
      </w:tr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t xml:space="preserve">Elements describe the essential </w:t>
            </w:r>
            <w:r w:rsidRPr="00787F97">
              <w:t>outcomes.</w:t>
            </w:r>
          </w:p>
        </w:tc>
        <w:tc>
          <w:tcPr>
            <w:tcW w:w="59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t xml:space="preserve">Performance criteria describe the performance needed to </w:t>
            </w:r>
            <w:r w:rsidRPr="00787F97">
              <w:t>demonstrate achievement of the element.</w:t>
            </w:r>
          </w:p>
        </w:tc>
      </w:tr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rPr>
                <w:rStyle w:val="SpecialBold"/>
              </w:rPr>
              <w:t>1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rPr>
                <w:rStyle w:val="SpecialBold"/>
              </w:rPr>
              <w:t>Plan daily inspection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rPr>
                <w:rStyle w:val="SpecialBold"/>
              </w:rPr>
              <w:t>1.1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t>Tags, logbooks and crane manufacturer information are read prior to commencing operation, and previously identified and manufactur</w:t>
            </w:r>
            <w:r w:rsidRPr="00787F97">
              <w:t>er recommendations are confirmed</w:t>
            </w:r>
          </w:p>
        </w:tc>
      </w:tr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>
            <w:pPr>
              <w:pStyle w:val="BodyText"/>
              <w:keepLines w:val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rPr>
                <w:rStyle w:val="SpecialBold"/>
              </w:rPr>
              <w:t>1.2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t>Maintenance schedules are read and maintenance tasks are confirmed to match schedule</w:t>
            </w:r>
          </w:p>
        </w:tc>
      </w:tr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>
            <w:pPr>
              <w:pStyle w:val="BodyText"/>
              <w:keepLines w:val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rPr>
                <w:rStyle w:val="SpecialBold"/>
              </w:rPr>
              <w:t>1.3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t>Competent maintenance personnel are consulted to confirm step-by-step procedure is worked out to minimise time delays and to sequence maintenance processes consistent with manufacturer recommendations</w:t>
            </w:r>
          </w:p>
        </w:tc>
      </w:tr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rPr>
                <w:rStyle w:val="SpecialBold"/>
              </w:rPr>
              <w:t>2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rPr>
                <w:rStyle w:val="SpecialBold"/>
              </w:rPr>
              <w:t>Prepare for pre-start checks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rPr>
                <w:rStyle w:val="SpecialBold"/>
              </w:rPr>
              <w:t>2.1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t>Hazards are identif</w:t>
            </w:r>
            <w:r w:rsidRPr="00787F97">
              <w:t xml:space="preserve">ied and risks are eliminated or control measures selected and implemented in accordance with workplace procedures </w:t>
            </w:r>
          </w:p>
        </w:tc>
      </w:tr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>
            <w:pPr>
              <w:pStyle w:val="BodyText"/>
              <w:keepLines w:val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rPr>
                <w:rStyle w:val="SpecialBold"/>
              </w:rPr>
              <w:t>2.2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t>Required tools, consumables and equipment are identified and suitable</w:t>
            </w:r>
          </w:p>
        </w:tc>
      </w:tr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>
            <w:pPr>
              <w:pStyle w:val="BodyText"/>
              <w:keepLines w:val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rPr>
                <w:rStyle w:val="SpecialBold"/>
              </w:rPr>
              <w:t>2.3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t>Equipment is inspected for visible faults and loose or da</w:t>
            </w:r>
            <w:r w:rsidRPr="00787F97">
              <w:t>maged components</w:t>
            </w:r>
          </w:p>
        </w:tc>
      </w:tr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rPr>
                <w:rStyle w:val="SpecialBold"/>
              </w:rPr>
              <w:t>3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rPr>
                <w:rStyle w:val="SpecialBold"/>
              </w:rPr>
              <w:t>Conduct pre-start operations and safety checks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rPr>
                <w:rStyle w:val="SpecialBold"/>
              </w:rPr>
              <w:t>3.1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t>Fluid levels are checked and adjusted in accordance with workplace procedures</w:t>
            </w:r>
          </w:p>
        </w:tc>
      </w:tr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>
            <w:pPr>
              <w:pStyle w:val="BodyText"/>
              <w:keepLines w:val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rPr>
                <w:rStyle w:val="SpecialBold"/>
              </w:rPr>
              <w:t>3.2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t>Mechanical components are checked to ensure attachments and tensions are secure in accordance with workplace procedures</w:t>
            </w:r>
          </w:p>
        </w:tc>
      </w:tr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>
            <w:pPr>
              <w:pStyle w:val="BodyText"/>
              <w:keepLines w:val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rPr>
                <w:rStyle w:val="SpecialBold"/>
              </w:rPr>
              <w:t>3.3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t>Own work and crane system operations are checked to ensure crane’s operational condition is in accordance with manufacturer speci</w:t>
            </w:r>
            <w:r w:rsidRPr="00787F97">
              <w:t>fications and in accordance with workplace procedures</w:t>
            </w:r>
          </w:p>
        </w:tc>
      </w:tr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>
            <w:pPr>
              <w:pStyle w:val="BodyText"/>
              <w:keepLines w:val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rPr>
                <w:rStyle w:val="SpecialBold"/>
              </w:rPr>
              <w:t>3.4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t>Tools, equipment and unused consumables are returned to appropriate locations and waste is disposed of in accordance with workplace procedures</w:t>
            </w:r>
          </w:p>
        </w:tc>
      </w:tr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>
            <w:pPr>
              <w:pStyle w:val="BodyText"/>
              <w:keepLines w:val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rPr>
                <w:rStyle w:val="SpecialBold"/>
              </w:rPr>
              <w:t>3.5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t xml:space="preserve">Mobile crane is monitored during operations </w:t>
            </w:r>
            <w:r w:rsidRPr="00787F97">
              <w:t>in accordance with workplace procedures</w:t>
            </w:r>
          </w:p>
        </w:tc>
      </w:tr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rPr>
                <w:rStyle w:val="SpecialBold"/>
              </w:rPr>
              <w:t>4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rPr>
                <w:rStyle w:val="SpecialBold"/>
              </w:rPr>
              <w:t>Complete logbook entries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rPr>
                <w:rStyle w:val="SpecialBold"/>
              </w:rPr>
              <w:t>4.1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t>Accurate reporting of daily inspection results is completed in accordance with workplace procedures</w:t>
            </w:r>
          </w:p>
        </w:tc>
      </w:tr>
      <w:tr w:rsidTr="00787F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>
            <w:pPr>
              <w:pStyle w:val="BodyText"/>
              <w:keepLines w:val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97">
            <w:pPr>
              <w:pStyle w:val="BodyText"/>
              <w:rPr>
                <w:lang w:val="en-NZ"/>
              </w:rPr>
            </w:pPr>
            <w:r w:rsidRPr="00787F97">
              <w:rPr>
                <w:rStyle w:val="SpecialBold"/>
              </w:rPr>
              <w:t>4.2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t xml:space="preserve">Potential fault conditions are reported to appropriate personnel </w:t>
            </w:r>
          </w:p>
        </w:tc>
      </w:tr>
    </w:tbl>
    <w:p w:rsidR="00000000" w:rsidRPr="00787F97" w:rsidP="00787F97">
      <w:pPr>
        <w:pStyle w:val="NoPaddingFontSize1"/>
      </w:pPr>
    </w:p>
    <w:p w:rsidR="00000000" w:rsidRPr="00787F97" w:rsidP="00787F97">
      <w:pPr>
        <w:pStyle w:val="AllowPageBreak"/>
      </w:pPr>
    </w:p>
    <w:p w:rsidR="00000000" w:rsidRPr="00787F97" w:rsidP="00787F97">
      <w:pPr>
        <w:pStyle w:val="Heading1"/>
      </w:pPr>
      <w:bookmarkStart w:id="7" w:name="O_1240313"/>
      <w:bookmarkEnd w:id="7"/>
      <w:r w:rsidRPr="00787F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t>Foundation skills essential to performance are explicit in the performance criteria of this unit of competency.</w:t>
            </w:r>
          </w:p>
        </w:tc>
      </w:tr>
    </w:tbl>
    <w:p w:rsidR="00000000" w:rsidRPr="00787F97" w:rsidP="00787F97">
      <w:pPr>
        <w:pStyle w:val="NoPaddingFontSize1"/>
      </w:pPr>
    </w:p>
    <w:p w:rsidR="00000000" w:rsidRPr="00787F97" w:rsidP="00787F97">
      <w:pPr>
        <w:pStyle w:val="AllowPageBreak"/>
      </w:pPr>
    </w:p>
    <w:p w:rsidR="00000000" w:rsidRPr="00787F97" w:rsidP="00787F97">
      <w:pPr>
        <w:pStyle w:val="Heading1"/>
      </w:pPr>
      <w:bookmarkStart w:id="8" w:name="O_1240314"/>
      <w:bookmarkEnd w:id="8"/>
      <w:r w:rsidRPr="00787F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t>Range is restricted to essential operating conditions and any other variables essential to the work environment.</w:t>
            </w:r>
          </w:p>
          <w:p w:rsidR="00000000" w:rsidRPr="00787F97" w:rsidP="00787F97">
            <w:pPr>
              <w:pStyle w:val="BodyText"/>
            </w:pPr>
            <w:r w:rsidRPr="00787F97">
              <w:t>Non-essential conditions can be found in the TLI Transport and Logistics Training Package Companion Volume Implementation G</w:t>
            </w:r>
            <w:r w:rsidRPr="00787F97">
              <w:t>uide.</w:t>
            </w:r>
          </w:p>
        </w:tc>
      </w:tr>
    </w:tbl>
    <w:p w:rsidR="00000000" w:rsidRPr="00787F97" w:rsidP="00787F97">
      <w:pPr>
        <w:pStyle w:val="NoPaddingFontSize1"/>
      </w:pPr>
    </w:p>
    <w:p w:rsidR="00000000" w:rsidRPr="00787F97" w:rsidP="00787F97">
      <w:pPr>
        <w:pStyle w:val="AllowPageBreak"/>
      </w:pPr>
    </w:p>
    <w:p w:rsidR="00000000" w:rsidRPr="00787F97" w:rsidP="00787F97">
      <w:pPr>
        <w:pStyle w:val="Heading1"/>
      </w:pPr>
      <w:bookmarkStart w:id="9" w:name="O_1240315"/>
      <w:bookmarkEnd w:id="9"/>
      <w:r w:rsidRPr="00787F9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97" w:rsidP="00787F97">
            <w:pPr>
              <w:pStyle w:val="BodyText"/>
            </w:pPr>
            <w:r w:rsidRPr="00787F97">
              <w:t>This unit replaces and is equivalent to TLIB3013 Maintain mobile cranes.</w:t>
            </w:r>
          </w:p>
        </w:tc>
      </w:tr>
    </w:tbl>
    <w:p w:rsidR="00000000" w:rsidRPr="00787F97" w:rsidP="00787F97">
      <w:pPr>
        <w:pStyle w:val="NoPaddingFontSize1"/>
      </w:pPr>
    </w:p>
    <w:p w:rsidR="00000000" w:rsidRPr="00787F97" w:rsidP="00787F97">
      <w:pPr>
        <w:pStyle w:val="AllowPageBreak"/>
      </w:pPr>
    </w:p>
    <w:p w:rsidR="00000000" w:rsidRPr="00787F97" w:rsidP="00787F97">
      <w:pPr>
        <w:pStyle w:val="Heading1"/>
      </w:pPr>
      <w:bookmarkStart w:id="10" w:name="O_1240322"/>
      <w:bookmarkEnd w:id="10"/>
      <w:r w:rsidRPr="00787F97">
        <w:t>Links</w:t>
      </w:r>
    </w:p>
    <w:p w:rsidR="00000000" w:rsidRPr="00787F97" w:rsidP="00BA55DA">
      <w:pPr>
        <w:pStyle w:val="BodyText"/>
      </w:pPr>
      <w:r w:rsidRPr="00787F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B2C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87F97" w:rsidP="00787F97"/>
    <w:sectPr w:rsidSect="00787F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97" w:rsidRPr="00BA55DA" w:rsidP="00BA55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DA" w:rsidP="00787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55DA" w:rsidP="00787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A55DA" w:rsidP="00787F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F97" w:rsidRPr="00BA55DA" w:rsidP="00BA55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DA" w:rsidRPr="002D2AF8" w:rsidP="00787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TLIB0029 Conduct daily inspections on mobile cranes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A55DA" w:rsidP="00787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F97"/>
  </w:style>
  <w:style w:type="character" w:customStyle="1" w:styleId="Heading1Char">
    <w:name w:val="Heading 1 Char"/>
    <w:basedOn w:val="DefaultParagraphFont"/>
    <w:link w:val="Heading1"/>
    <w:rsid w:val="00787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F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F9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7F97"/>
    <w:rPr>
      <w:b/>
      <w:spacing w:val="0"/>
    </w:rPr>
  </w:style>
  <w:style w:type="paragraph" w:customStyle="1" w:styleId="SuperHeading">
    <w:name w:val="SuperHeading"/>
    <w:basedOn w:val="Normal"/>
    <w:rsid w:val="00787F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7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F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F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F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7F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7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7F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7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F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7F97"/>
    <w:rPr>
      <w:i/>
    </w:rPr>
  </w:style>
  <w:style w:type="paragraph" w:styleId="Caption">
    <w:name w:val="caption"/>
    <w:basedOn w:val="BodyText"/>
    <w:next w:val="Normal"/>
    <w:qFormat/>
    <w:rsid w:val="00787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F97"/>
  </w:style>
  <w:style w:type="paragraph" w:styleId="TableofFigures">
    <w:name w:val="table of figures"/>
    <w:basedOn w:val="Normal"/>
    <w:next w:val="Normal"/>
    <w:semiHidden/>
    <w:rsid w:val="00787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F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7F97"/>
    <w:rPr>
      <w:rFonts w:ascii="Wingdings" w:hAnsi="Wingdings"/>
    </w:rPr>
  </w:style>
  <w:style w:type="paragraph" w:customStyle="1" w:styleId="TableHeading">
    <w:name w:val="Table Heading"/>
    <w:basedOn w:val="HeadingBase"/>
    <w:rsid w:val="00787F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F97"/>
    <w:rPr>
      <w:color w:val="0033CC"/>
      <w:u w:val="none"/>
    </w:rPr>
  </w:style>
  <w:style w:type="paragraph" w:customStyle="1" w:styleId="BodyTextRight">
    <w:name w:val="Body Text Right"/>
    <w:basedOn w:val="BodyText"/>
    <w:rsid w:val="00787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F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F97"/>
    <w:rPr>
      <w:sz w:val="32"/>
    </w:rPr>
  </w:style>
  <w:style w:type="paragraph" w:customStyle="1" w:styleId="HeadingProcedure">
    <w:name w:val="Heading Procedure"/>
    <w:basedOn w:val="HeadingBase"/>
    <w:next w:val="Normal"/>
    <w:rsid w:val="00787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F97"/>
    <w:pPr>
      <w:spacing w:before="60" w:after="60"/>
    </w:pPr>
  </w:style>
  <w:style w:type="paragraph" w:styleId="ListContinue">
    <w:name w:val="List Continue"/>
    <w:basedOn w:val="List"/>
    <w:rsid w:val="00787F97"/>
    <w:pPr>
      <w:ind w:firstLine="0"/>
    </w:pPr>
  </w:style>
  <w:style w:type="paragraph" w:customStyle="1" w:styleId="ListNote">
    <w:name w:val="List Note"/>
    <w:basedOn w:val="List"/>
    <w:rsid w:val="00787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F97"/>
    <w:rPr>
      <w:rFonts w:ascii="Courier New" w:hAnsi="Courier New"/>
    </w:rPr>
  </w:style>
  <w:style w:type="paragraph" w:customStyle="1" w:styleId="NoteBullet">
    <w:name w:val="Note Bullet"/>
    <w:basedOn w:val="Note"/>
    <w:rsid w:val="00787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F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7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F97"/>
    <w:rPr>
      <w:b/>
      <w:smallCaps/>
    </w:rPr>
  </w:style>
  <w:style w:type="paragraph" w:customStyle="1" w:styleId="TableListNumber">
    <w:name w:val="Table List Number"/>
    <w:basedOn w:val="ListNumber"/>
    <w:rsid w:val="00787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F97"/>
    <w:pPr>
      <w:numPr>
        <w:numId w:val="7"/>
      </w:numPr>
    </w:pPr>
  </w:style>
  <w:style w:type="paragraph" w:customStyle="1" w:styleId="ListAlpha2">
    <w:name w:val="List Alpha 2"/>
    <w:basedOn w:val="List2"/>
    <w:rsid w:val="00787F97"/>
    <w:pPr>
      <w:numPr>
        <w:numId w:val="6"/>
      </w:numPr>
    </w:pPr>
  </w:style>
  <w:style w:type="paragraph" w:styleId="List2">
    <w:name w:val="List 2"/>
    <w:basedOn w:val="BodyText"/>
    <w:rsid w:val="00787F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F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F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F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7F97"/>
    <w:pPr>
      <w:numPr>
        <w:numId w:val="2"/>
      </w:numPr>
    </w:pPr>
  </w:style>
  <w:style w:type="paragraph" w:styleId="ListContinue2">
    <w:name w:val="List Continue 2"/>
    <w:basedOn w:val="List2"/>
    <w:rsid w:val="00787F97"/>
    <w:pPr>
      <w:ind w:firstLine="0"/>
    </w:pPr>
  </w:style>
  <w:style w:type="paragraph" w:styleId="ListContinue3">
    <w:name w:val="List Continue 3"/>
    <w:basedOn w:val="List3"/>
    <w:rsid w:val="00787F97"/>
    <w:pPr>
      <w:ind w:left="1021" w:firstLine="0"/>
    </w:pPr>
  </w:style>
  <w:style w:type="paragraph" w:styleId="ListContinue4">
    <w:name w:val="List Continue 4"/>
    <w:basedOn w:val="List4"/>
    <w:rsid w:val="00787F97"/>
    <w:pPr>
      <w:ind w:firstLine="0"/>
    </w:pPr>
  </w:style>
  <w:style w:type="paragraph" w:styleId="ListContinue5">
    <w:name w:val="List Continue 5"/>
    <w:basedOn w:val="List5"/>
    <w:rsid w:val="00787F97"/>
    <w:pPr>
      <w:ind w:firstLine="0"/>
    </w:pPr>
  </w:style>
  <w:style w:type="paragraph" w:styleId="ListNumber3">
    <w:name w:val="List Number 3"/>
    <w:basedOn w:val="List3"/>
    <w:rsid w:val="00787F97"/>
    <w:pPr>
      <w:numPr>
        <w:numId w:val="3"/>
      </w:numPr>
    </w:pPr>
  </w:style>
  <w:style w:type="paragraph" w:styleId="ListNumber4">
    <w:name w:val="List Number 4"/>
    <w:basedOn w:val="List4"/>
    <w:rsid w:val="00787F97"/>
    <w:pPr>
      <w:numPr>
        <w:numId w:val="4"/>
      </w:numPr>
    </w:pPr>
  </w:style>
  <w:style w:type="paragraph" w:styleId="ListNumber5">
    <w:name w:val="List Number 5"/>
    <w:basedOn w:val="List5"/>
    <w:rsid w:val="00787F97"/>
    <w:pPr>
      <w:numPr>
        <w:numId w:val="5"/>
      </w:numPr>
    </w:pPr>
  </w:style>
  <w:style w:type="paragraph" w:styleId="BlockText">
    <w:name w:val="Block Text"/>
    <w:basedOn w:val="Normal"/>
    <w:rsid w:val="00787F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F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F97"/>
    <w:rPr>
      <w:sz w:val="16"/>
      <w:vertAlign w:val="superscript"/>
    </w:rPr>
  </w:style>
  <w:style w:type="character" w:customStyle="1" w:styleId="Symbols">
    <w:name w:val="Symbols"/>
    <w:basedOn w:val="DefaultParagraphFont"/>
    <w:rsid w:val="00787F97"/>
    <w:rPr>
      <w:rFonts w:ascii="Symbol" w:hAnsi="Symbol"/>
    </w:rPr>
  </w:style>
  <w:style w:type="character" w:customStyle="1" w:styleId="MenuOptions">
    <w:name w:val="Menu Options"/>
    <w:basedOn w:val="DefaultParagraphFont"/>
    <w:rsid w:val="00787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F97"/>
    <w:rPr>
      <w:b/>
    </w:rPr>
  </w:style>
  <w:style w:type="character" w:customStyle="1" w:styleId="Underlined">
    <w:name w:val="Underlined"/>
    <w:basedOn w:val="DefaultParagraphFont"/>
    <w:rsid w:val="00787F97"/>
    <w:rPr>
      <w:u w:val="single"/>
    </w:rPr>
  </w:style>
  <w:style w:type="paragraph" w:customStyle="1" w:styleId="TableBodyTextRight">
    <w:name w:val="Table Body Text Right"/>
    <w:basedOn w:val="TableBodyText"/>
    <w:rsid w:val="00787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F97"/>
    <w:rPr>
      <w:sz w:val="18"/>
    </w:rPr>
  </w:style>
  <w:style w:type="paragraph" w:customStyle="1" w:styleId="BodySmallRight">
    <w:name w:val="Body Small Right"/>
    <w:basedOn w:val="BodyTextRight"/>
    <w:rsid w:val="00787F97"/>
    <w:rPr>
      <w:sz w:val="18"/>
      <w:szCs w:val="18"/>
    </w:rPr>
  </w:style>
  <w:style w:type="paragraph" w:customStyle="1" w:styleId="MarginEdition">
    <w:name w:val="Margin Edition"/>
    <w:basedOn w:val="MarginNote"/>
    <w:rsid w:val="00787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F97"/>
    <w:rPr>
      <w:sz w:val="2"/>
      <w:szCs w:val="2"/>
    </w:rPr>
  </w:style>
  <w:style w:type="character" w:customStyle="1" w:styleId="Small">
    <w:name w:val="Small"/>
    <w:basedOn w:val="DefaultParagraphFont"/>
    <w:rsid w:val="00787F97"/>
    <w:rPr>
      <w:sz w:val="16"/>
    </w:rPr>
  </w:style>
  <w:style w:type="paragraph" w:customStyle="1" w:styleId="WideTable">
    <w:name w:val="Wide Table"/>
    <w:basedOn w:val="Normal"/>
    <w:rsid w:val="00787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F97"/>
  </w:style>
  <w:style w:type="paragraph" w:styleId="Quote">
    <w:name w:val="Quote"/>
    <w:basedOn w:val="Heading1"/>
    <w:link w:val="QuoteChar"/>
    <w:qFormat/>
    <w:rsid w:val="00787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F97"/>
    <w:pPr>
      <w:pageBreakBefore/>
    </w:pPr>
  </w:style>
  <w:style w:type="paragraph" w:customStyle="1" w:styleId="Border">
    <w:name w:val="Border"/>
    <w:basedOn w:val="Normal"/>
    <w:qFormat/>
    <w:rsid w:val="00787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F97"/>
    <w:rPr>
      <w:u w:val="single"/>
    </w:rPr>
  </w:style>
  <w:style w:type="character" w:customStyle="1" w:styleId="BoldandItalics">
    <w:name w:val="Bold and Italics"/>
    <w:qFormat/>
    <w:rsid w:val="00787F97"/>
    <w:rPr>
      <w:b/>
      <w:i/>
      <w:u w:val="none"/>
    </w:rPr>
  </w:style>
  <w:style w:type="paragraph" w:styleId="BalloonText">
    <w:name w:val="Balloon Text"/>
    <w:basedOn w:val="Normal"/>
    <w:link w:val="BalloonTextChar"/>
    <w:rsid w:val="00787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F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F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F97"/>
    <w:pPr>
      <w:spacing w:before="0" w:after="0"/>
    </w:pPr>
  </w:style>
  <w:style w:type="paragraph" w:customStyle="1" w:styleId="BodyTextBold">
    <w:name w:val="Body Text Bold"/>
    <w:basedOn w:val="BodyText"/>
    <w:qFormat/>
    <w:rsid w:val="00787F97"/>
    <w:rPr>
      <w:b/>
    </w:rPr>
  </w:style>
  <w:style w:type="character" w:styleId="Hyperlink">
    <w:name w:val="Hyperlink"/>
    <w:basedOn w:val="DefaultParagraphFont"/>
    <w:uiPriority w:val="99"/>
    <w:unhideWhenUsed/>
    <w:rsid w:val="00BA55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3559</Characters>
  <Application>Microsoft Office Word</Application>
  <DocSecurity>0</DocSecurity>
  <Lines>161</Lines>
  <Paragraphs>80</Paragraphs>
  <ScaleCrop>false</ScaleCrop>
  <Company>Author-it Software Corporation Ltd.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TLIB0029 Conduct daily inspections on mobile cranes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2024-07-12T07:40:00Z</dcterms:created>
  <dcterms:modified xsi:type="dcterms:W3CDTF">2024-07-12T07:40:00Z</dcterms:modified>
</cp:coreProperties>
</file>