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3730" w:rsidP="00F937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TLIB0024 Use mobile electronic track warning system</w:t>
      </w:r>
      <w:r>
        <w:fldChar w:fldCharType="end"/>
      </w:r>
    </w:p>
    <w:p w:rsidR="00F93730" w:rsidP="00F93730">
      <w:pPr>
        <w:pStyle w:val="Version"/>
        <w:sectPr w:rsidSect="003670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70C3" w:rsidP="003670C3">
      <w:pPr>
        <w:pStyle w:val="SuperHeading"/>
      </w:pPr>
      <w:r w:rsidRPr="003670C3">
        <w:t>TLIB0024 Use mobile electronic track warning system</w:t>
      </w:r>
    </w:p>
    <w:p w:rsidR="00000000" w:rsidRPr="003670C3" w:rsidP="003670C3">
      <w:pPr>
        <w:pStyle w:val="Heading1"/>
      </w:pPr>
      <w:bookmarkStart w:id="1" w:name="O_1191124"/>
      <w:bookmarkEnd w:id="1"/>
      <w:r w:rsidRPr="003670C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70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0C3" w:rsidP="003670C3">
            <w:pPr>
              <w:pStyle w:val="BodyText"/>
            </w:pPr>
            <w:r w:rsidRPr="003670C3">
              <w:rPr>
                <w:rStyle w:val="SpecialBold"/>
              </w:rPr>
              <w:t>Release 1.</w:t>
            </w:r>
            <w:r w:rsidRPr="003670C3">
              <w:t xml:space="preserve"> This is the first release of this unit of competency in the TLI Transport and Logistics Training Package.</w:t>
            </w:r>
          </w:p>
        </w:tc>
      </w:tr>
    </w:tbl>
    <w:p w:rsidR="00F93730" w:rsidP="003670C3">
      <w:pPr>
        <w:pStyle w:val="NoPaddingFontSize1"/>
      </w:pPr>
    </w:p>
    <w:p w:rsidR="00F93730" w:rsidP="003670C3">
      <w:pPr>
        <w:pStyle w:val="NoPaddingFontSize1"/>
      </w:pPr>
    </w:p>
    <w:p w:rsidR="00000000" w:rsidRPr="003670C3" w:rsidP="003670C3">
      <w:pPr>
        <w:pStyle w:val="Heading1"/>
      </w:pPr>
      <w:bookmarkStart w:id="2" w:name="O_1191125"/>
      <w:bookmarkEnd w:id="2"/>
      <w:r w:rsidRPr="003670C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70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0C3" w:rsidP="003670C3">
            <w:pPr>
              <w:pStyle w:val="BodyText"/>
            </w:pPr>
            <w:r w:rsidRPr="003670C3">
              <w:t>This unit involves the skills and knowledge required to use mobile electro</w:t>
            </w:r>
            <w:r w:rsidRPr="003670C3">
              <w:t>nic track warning system in accordance with regulatory requirements and rail network standards.</w:t>
            </w:r>
          </w:p>
          <w:p w:rsidR="00000000" w:rsidRPr="003670C3" w:rsidP="003670C3">
            <w:pPr>
              <w:pStyle w:val="BodyText"/>
            </w:pPr>
            <w:r w:rsidRPr="003670C3">
              <w:t xml:space="preserve">It includes accessing, placing and removing mobile electronic track warning system in accordance with legislative requirements, rail network owner policies and </w:t>
            </w:r>
            <w:r w:rsidRPr="003670C3">
              <w:t>procedures.</w:t>
            </w:r>
          </w:p>
          <w:p w:rsidR="00000000" w:rsidRPr="003670C3" w:rsidP="003670C3">
            <w:pPr>
              <w:pStyle w:val="BodyText"/>
            </w:pPr>
            <w:r w:rsidRPr="003670C3">
              <w:t>People achieving competence in this unit will need to fulfil the applicable state/territory legislated rail safety requirements and to comply with relevant codes of practice and/or guidelines.</w:t>
            </w:r>
          </w:p>
          <w:p w:rsidR="00000000" w:rsidRPr="003670C3" w:rsidP="003670C3">
            <w:pPr>
              <w:pStyle w:val="BodyText"/>
            </w:pPr>
            <w:r w:rsidRPr="003670C3">
              <w:t xml:space="preserve">Mobile electronic track warning system is a system </w:t>
            </w:r>
            <w:r w:rsidRPr="003670C3">
              <w:t xml:space="preserve">that gives trackside staff audible and/or visible warning of the approach of rail traffic independently of the signalling system. </w:t>
            </w:r>
          </w:p>
          <w:p w:rsidR="00000000" w:rsidRPr="003670C3" w:rsidP="003670C3">
            <w:pPr>
              <w:pStyle w:val="BodyText"/>
            </w:pPr>
            <w:r w:rsidRPr="003670C3">
              <w:t>No licensing, legislative or certification requirements apply to this unit at the time of publication.</w:t>
            </w:r>
          </w:p>
        </w:tc>
      </w:tr>
    </w:tbl>
    <w:p w:rsidR="00F93730" w:rsidP="003670C3">
      <w:pPr>
        <w:pStyle w:val="NoPaddingFontSize1"/>
      </w:pPr>
    </w:p>
    <w:p w:rsidR="00F93730" w:rsidP="003670C3">
      <w:pPr>
        <w:pStyle w:val="NoPaddingFontSize1"/>
      </w:pPr>
    </w:p>
    <w:p w:rsidR="00000000" w:rsidRPr="003670C3" w:rsidP="003670C3">
      <w:pPr>
        <w:pStyle w:val="Heading1"/>
      </w:pPr>
      <w:bookmarkStart w:id="3" w:name="O_1191126"/>
      <w:bookmarkEnd w:id="3"/>
      <w:r w:rsidRPr="003670C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70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0C3" w:rsidP="003670C3">
            <w:pPr>
              <w:pStyle w:val="BodyText"/>
            </w:pPr>
            <w:r w:rsidRPr="003670C3">
              <w:t>Not applicable.</w:t>
            </w:r>
          </w:p>
        </w:tc>
      </w:tr>
    </w:tbl>
    <w:p w:rsidR="00F93730" w:rsidP="003670C3">
      <w:pPr>
        <w:pStyle w:val="NoPaddingFontSize1"/>
      </w:pPr>
    </w:p>
    <w:p w:rsidR="00F93730" w:rsidP="003670C3">
      <w:pPr>
        <w:pStyle w:val="NoPaddingFontSize1"/>
      </w:pPr>
    </w:p>
    <w:p w:rsidR="00000000" w:rsidRPr="003670C3" w:rsidP="003670C3">
      <w:pPr>
        <w:pStyle w:val="Heading1"/>
      </w:pPr>
      <w:bookmarkStart w:id="4" w:name="O_1191127"/>
      <w:bookmarkEnd w:id="4"/>
      <w:r w:rsidRPr="003670C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70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0C3" w:rsidP="003670C3">
            <w:pPr>
              <w:pStyle w:val="BodyText"/>
            </w:pPr>
            <w:r w:rsidRPr="003670C3">
              <w:t>B ‒ Equipment Checking and Maintenance</w:t>
            </w:r>
          </w:p>
        </w:tc>
      </w:tr>
    </w:tbl>
    <w:p w:rsidR="00F93730" w:rsidP="003670C3">
      <w:pPr>
        <w:pStyle w:val="NoPaddingFontSize1"/>
      </w:pPr>
    </w:p>
    <w:p w:rsidR="00F93730" w:rsidP="003670C3">
      <w:pPr>
        <w:pStyle w:val="NoPaddingFontSize1"/>
      </w:pPr>
    </w:p>
    <w:p w:rsidR="00000000" w:rsidRPr="003670C3" w:rsidP="003670C3">
      <w:pPr>
        <w:pStyle w:val="Heading1"/>
      </w:pPr>
      <w:bookmarkStart w:id="5" w:name="O_1191128"/>
      <w:bookmarkEnd w:id="5"/>
      <w:r w:rsidRPr="003670C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70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0C3" w:rsidP="003670C3">
            <w:pPr>
              <w:pStyle w:val="BodyText"/>
            </w:pPr>
            <w:r w:rsidRPr="003670C3">
              <w:t>Rail sector.</w:t>
            </w:r>
          </w:p>
        </w:tc>
      </w:tr>
    </w:tbl>
    <w:p w:rsidR="00F93730" w:rsidP="003670C3">
      <w:pPr>
        <w:pStyle w:val="NoPaddingFontSize1"/>
      </w:pPr>
    </w:p>
    <w:p w:rsidR="00F93730" w:rsidP="003670C3">
      <w:pPr>
        <w:pStyle w:val="NoPaddingFontSize1"/>
      </w:pPr>
    </w:p>
    <w:p w:rsidR="00000000" w:rsidRPr="003670C3" w:rsidP="003670C3">
      <w:pPr>
        <w:pStyle w:val="Heading1"/>
      </w:pPr>
      <w:bookmarkStart w:id="6" w:name="O_1191129"/>
      <w:bookmarkEnd w:id="6"/>
      <w:r w:rsidRPr="003670C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7"/>
        <w:gridCol w:w="1903"/>
        <w:gridCol w:w="533"/>
        <w:gridCol w:w="6443"/>
      </w:tblGrid>
      <w:tr w:rsidTr="00F937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0C3">
            <w:pPr>
              <w:pStyle w:val="BodyText"/>
              <w:rPr>
                <w:lang w:val="en-NZ"/>
              </w:rPr>
            </w:pPr>
            <w:r w:rsidRPr="003670C3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0C3">
            <w:pPr>
              <w:pStyle w:val="BodyText"/>
              <w:rPr>
                <w:lang w:val="en-NZ"/>
              </w:rPr>
            </w:pPr>
            <w:r w:rsidRPr="003670C3">
              <w:t>Performance criteria describe the performance needed to demonstrate achievement of the element.</w:t>
            </w:r>
          </w:p>
        </w:tc>
      </w:tr>
      <w:tr w:rsidTr="00F937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0C3" w:rsidP="003670C3">
            <w:pPr>
              <w:pStyle w:val="BodyText"/>
            </w:pPr>
            <w:r w:rsidRPr="003670C3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0C3" w:rsidP="003670C3">
            <w:pPr>
              <w:pStyle w:val="BodyText"/>
            </w:pPr>
            <w:r w:rsidRPr="003670C3">
              <w:rPr>
                <w:rStyle w:val="SpecialBold"/>
              </w:rPr>
              <w:t xml:space="preserve">Access and transport mobile </w:t>
            </w:r>
            <w:r w:rsidRPr="003670C3">
              <w:rPr>
                <w:rStyle w:val="SpecialBold"/>
              </w:rPr>
              <w:t>electronic track warning system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0C3">
            <w:pPr>
              <w:pStyle w:val="BodyText"/>
              <w:rPr>
                <w:lang w:val="en-NZ"/>
              </w:rPr>
            </w:pPr>
            <w:r w:rsidRPr="003670C3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0C3">
            <w:pPr>
              <w:pStyle w:val="BodyText"/>
              <w:rPr>
                <w:lang w:val="en-NZ"/>
              </w:rPr>
            </w:pPr>
            <w:r w:rsidRPr="003670C3">
              <w:t>Required mobile electronic track warning system is obtained in accordance with workplace procedures</w:t>
            </w:r>
          </w:p>
        </w:tc>
      </w:tr>
      <w:tr w:rsidTr="00F937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0C3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0C3">
            <w:pPr>
              <w:pStyle w:val="BodyText"/>
              <w:rPr>
                <w:lang w:val="en-NZ"/>
              </w:rPr>
            </w:pPr>
            <w:r w:rsidRPr="003670C3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0C3">
            <w:pPr>
              <w:pStyle w:val="BodyText"/>
              <w:rPr>
                <w:lang w:val="en-NZ"/>
              </w:rPr>
            </w:pPr>
            <w:r w:rsidRPr="003670C3">
              <w:t>Hazards are identified, risks assessed and risk control measures implemented</w:t>
            </w:r>
          </w:p>
        </w:tc>
      </w:tr>
      <w:tr w:rsidTr="00F937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0C3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0C3">
            <w:pPr>
              <w:pStyle w:val="BodyText"/>
              <w:rPr>
                <w:lang w:val="en-NZ"/>
              </w:rPr>
            </w:pPr>
            <w:r w:rsidRPr="003670C3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0C3">
            <w:pPr>
              <w:pStyle w:val="BodyText"/>
              <w:rPr>
                <w:lang w:val="en-NZ"/>
              </w:rPr>
            </w:pPr>
            <w:r w:rsidRPr="003670C3">
              <w:t>Mobile electronic track warning system is inspected and tested to ensure it is fit for use in accordance with original equipment manufacturer (OEM) and rail network standards</w:t>
            </w:r>
          </w:p>
        </w:tc>
      </w:tr>
      <w:tr w:rsidTr="00F937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0C3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0C3">
            <w:pPr>
              <w:pStyle w:val="BodyText"/>
              <w:rPr>
                <w:lang w:val="en-NZ"/>
              </w:rPr>
            </w:pPr>
            <w:r w:rsidRPr="003670C3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0C3">
            <w:pPr>
              <w:pStyle w:val="BodyText"/>
              <w:rPr>
                <w:lang w:val="en-NZ"/>
              </w:rPr>
            </w:pPr>
            <w:r w:rsidRPr="003670C3">
              <w:t>Mobile electronic track warning system is stored and transported in accord</w:t>
            </w:r>
            <w:r w:rsidRPr="003670C3">
              <w:t>ance with workplace and/or rail network procedures</w:t>
            </w:r>
          </w:p>
        </w:tc>
      </w:tr>
      <w:tr w:rsidTr="00F937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0C3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0C3">
            <w:pPr>
              <w:pStyle w:val="BodyText"/>
              <w:rPr>
                <w:lang w:val="en-NZ"/>
              </w:rPr>
            </w:pPr>
            <w:r w:rsidRPr="003670C3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0C3">
            <w:pPr>
              <w:pStyle w:val="BodyText"/>
              <w:rPr>
                <w:lang w:val="en-NZ"/>
              </w:rPr>
            </w:pPr>
            <w:r w:rsidRPr="003670C3">
              <w:t>Documentation is completed in accordance with workplace procedures</w:t>
            </w:r>
          </w:p>
        </w:tc>
      </w:tr>
      <w:tr w:rsidTr="00F937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0C3" w:rsidP="003670C3">
            <w:pPr>
              <w:pStyle w:val="BodyText"/>
            </w:pPr>
            <w:r w:rsidRPr="003670C3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0C3" w:rsidP="003670C3">
            <w:pPr>
              <w:pStyle w:val="BodyText"/>
            </w:pPr>
            <w:r w:rsidRPr="003670C3">
              <w:rPr>
                <w:rStyle w:val="SpecialBold"/>
              </w:rPr>
              <w:t>Place mobile electronic track warning system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0C3">
            <w:pPr>
              <w:pStyle w:val="BodyText"/>
              <w:rPr>
                <w:lang w:val="en-NZ"/>
              </w:rPr>
            </w:pPr>
            <w:r w:rsidRPr="003670C3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0C3">
            <w:pPr>
              <w:pStyle w:val="BodyText"/>
              <w:rPr>
                <w:lang w:val="en-NZ"/>
              </w:rPr>
            </w:pPr>
            <w:r w:rsidRPr="003670C3">
              <w:t>Advice is confirmed as to where the mobile electronic track warning system is t</w:t>
            </w:r>
            <w:r w:rsidRPr="003670C3">
              <w:t>o be placed</w:t>
            </w:r>
          </w:p>
        </w:tc>
      </w:tr>
      <w:tr w:rsidTr="00F937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0C3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0C3">
            <w:pPr>
              <w:pStyle w:val="BodyText"/>
              <w:rPr>
                <w:lang w:val="en-NZ"/>
              </w:rPr>
            </w:pPr>
            <w:r w:rsidRPr="003670C3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0C3">
            <w:pPr>
              <w:pStyle w:val="BodyText"/>
              <w:rPr>
                <w:lang w:val="en-NZ"/>
              </w:rPr>
            </w:pPr>
            <w:r w:rsidRPr="003670C3">
              <w:t>Mobile electronic track warning system is placed in accordance with workplace and/or rail network procedures</w:t>
            </w:r>
          </w:p>
        </w:tc>
      </w:tr>
      <w:tr w:rsidTr="00F937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0C3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0C3">
            <w:pPr>
              <w:pStyle w:val="BodyText"/>
              <w:rPr>
                <w:lang w:val="en-NZ"/>
              </w:rPr>
            </w:pPr>
            <w:r w:rsidRPr="003670C3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0C3">
            <w:pPr>
              <w:pStyle w:val="BodyText"/>
              <w:rPr>
                <w:lang w:val="en-NZ"/>
              </w:rPr>
            </w:pPr>
            <w:r w:rsidRPr="003670C3">
              <w:t>Mobile electronic track warning system is tested to ensure warning system is operating in accordance with workplace and/or rail network procedures</w:t>
            </w:r>
          </w:p>
        </w:tc>
      </w:tr>
      <w:tr w:rsidTr="00F937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0C3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0C3">
            <w:pPr>
              <w:pStyle w:val="BodyText"/>
              <w:rPr>
                <w:lang w:val="en-NZ"/>
              </w:rPr>
            </w:pPr>
            <w:r w:rsidRPr="003670C3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0C3">
            <w:pPr>
              <w:pStyle w:val="BodyText"/>
              <w:rPr>
                <w:lang w:val="en-NZ"/>
              </w:rPr>
            </w:pPr>
            <w:r w:rsidRPr="003670C3">
              <w:t>Personnel are advised of protection arrangements for mobile electronic track warning system in accorda</w:t>
            </w:r>
            <w:r w:rsidRPr="003670C3">
              <w:t>nce with workplace and/or rail network procedures</w:t>
            </w:r>
          </w:p>
        </w:tc>
      </w:tr>
      <w:tr w:rsidTr="00F937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0C3" w:rsidP="003670C3">
            <w:pPr>
              <w:pStyle w:val="BodyText"/>
            </w:pPr>
            <w:r w:rsidRPr="003670C3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0C3" w:rsidP="003670C3">
            <w:pPr>
              <w:pStyle w:val="BodyText"/>
            </w:pPr>
            <w:r w:rsidRPr="003670C3">
              <w:rPr>
                <w:rStyle w:val="SpecialBold"/>
              </w:rPr>
              <w:t>Remove mobile electronic track warning system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0C3">
            <w:pPr>
              <w:pStyle w:val="BodyText"/>
              <w:rPr>
                <w:lang w:val="en-NZ"/>
              </w:rPr>
            </w:pPr>
            <w:r w:rsidRPr="003670C3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0C3">
            <w:pPr>
              <w:pStyle w:val="BodyText"/>
              <w:rPr>
                <w:lang w:val="en-NZ"/>
              </w:rPr>
            </w:pPr>
            <w:r w:rsidRPr="003670C3">
              <w:t>Mobile electronic track warning system is removed, as advised, in accordance with workplace and/or rail network procedures</w:t>
            </w:r>
          </w:p>
        </w:tc>
      </w:tr>
      <w:tr w:rsidTr="00F937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0C3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0C3">
            <w:pPr>
              <w:pStyle w:val="BodyText"/>
              <w:rPr>
                <w:lang w:val="en-NZ"/>
              </w:rPr>
            </w:pPr>
            <w:r w:rsidRPr="003670C3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0C3">
            <w:pPr>
              <w:pStyle w:val="BodyText"/>
              <w:rPr>
                <w:lang w:val="en-NZ"/>
              </w:rPr>
            </w:pPr>
            <w:r w:rsidRPr="003670C3">
              <w:t>Personnel are advised that mobile electronic track warning system has been removed in accordance with workplace and/or rail network procedures</w:t>
            </w:r>
          </w:p>
        </w:tc>
      </w:tr>
      <w:tr w:rsidTr="00F937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0C3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0C3">
            <w:pPr>
              <w:pStyle w:val="BodyText"/>
              <w:rPr>
                <w:lang w:val="en-NZ"/>
              </w:rPr>
            </w:pPr>
            <w:r w:rsidRPr="003670C3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0C3">
            <w:pPr>
              <w:pStyle w:val="BodyText"/>
              <w:rPr>
                <w:lang w:val="en-NZ"/>
              </w:rPr>
            </w:pPr>
            <w:r w:rsidRPr="003670C3">
              <w:t>Mobile electronic track warning system is stored and returned in accordance with OEM and rail network proc</w:t>
            </w:r>
            <w:r w:rsidRPr="003670C3">
              <w:t>edures</w:t>
            </w:r>
          </w:p>
        </w:tc>
      </w:tr>
      <w:tr w:rsidTr="00F937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0C3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0C3">
            <w:pPr>
              <w:pStyle w:val="BodyText"/>
              <w:rPr>
                <w:lang w:val="en-NZ"/>
              </w:rPr>
            </w:pPr>
            <w:r w:rsidRPr="003670C3">
              <w:rPr>
                <w:rStyle w:val="SpecialBold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0C3">
            <w:pPr>
              <w:pStyle w:val="BodyText"/>
              <w:rPr>
                <w:lang w:val="en-NZ"/>
              </w:rPr>
            </w:pPr>
            <w:r w:rsidRPr="003670C3">
              <w:t>Defective mobile electronic track warning system is removed from service, reported and returned in accordance with OEM and rail network procedures</w:t>
            </w:r>
          </w:p>
        </w:tc>
      </w:tr>
      <w:tr w:rsidTr="00F937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0C3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0C3">
            <w:pPr>
              <w:pStyle w:val="BodyText"/>
              <w:rPr>
                <w:lang w:val="en-NZ"/>
              </w:rPr>
            </w:pPr>
            <w:r w:rsidRPr="003670C3">
              <w:rPr>
                <w:rStyle w:val="SpecialBold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0C3" w:rsidP="003670C3">
            <w:pPr>
              <w:pStyle w:val="BodyText"/>
            </w:pPr>
            <w:r w:rsidRPr="003670C3">
              <w:t>Documentation is completed in accordance with workplace procedures</w:t>
            </w:r>
          </w:p>
        </w:tc>
      </w:tr>
    </w:tbl>
    <w:p w:rsidR="00F93730" w:rsidP="003670C3">
      <w:pPr>
        <w:pStyle w:val="NoPaddingFontSize1"/>
      </w:pPr>
    </w:p>
    <w:p w:rsidR="00F93730" w:rsidP="003670C3">
      <w:pPr>
        <w:pStyle w:val="NoPaddingFontSize1"/>
      </w:pPr>
    </w:p>
    <w:p w:rsidR="00000000" w:rsidRPr="003670C3" w:rsidP="003670C3">
      <w:pPr>
        <w:pStyle w:val="Heading1"/>
      </w:pPr>
      <w:bookmarkStart w:id="7" w:name="O_1191130"/>
      <w:bookmarkEnd w:id="7"/>
      <w:r w:rsidRPr="003670C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70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0C3" w:rsidP="003670C3">
            <w:pPr>
              <w:pStyle w:val="BodyText"/>
            </w:pPr>
            <w:r w:rsidRPr="003670C3">
              <w:t>Foundation skills essential to performance are explicit in the performance criteria of this unit of competency.</w:t>
            </w:r>
          </w:p>
        </w:tc>
      </w:tr>
    </w:tbl>
    <w:p w:rsidR="00F93730" w:rsidP="003670C3">
      <w:pPr>
        <w:pStyle w:val="NoPaddingFontSize1"/>
      </w:pPr>
    </w:p>
    <w:p w:rsidR="00F93730" w:rsidP="003670C3">
      <w:pPr>
        <w:pStyle w:val="NoPaddingFontSize1"/>
      </w:pPr>
    </w:p>
    <w:p w:rsidR="00000000" w:rsidRPr="003670C3" w:rsidP="003670C3">
      <w:pPr>
        <w:pStyle w:val="Heading1"/>
      </w:pPr>
      <w:bookmarkStart w:id="8" w:name="O_1191131"/>
      <w:bookmarkEnd w:id="8"/>
      <w:r w:rsidRPr="003670C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70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0C3" w:rsidP="003670C3">
            <w:pPr>
              <w:pStyle w:val="BodyText"/>
            </w:pPr>
            <w:r w:rsidRPr="003670C3">
              <w:t>Range is restricted to essential operating conditions and any other variables essential to the work environment.</w:t>
            </w:r>
          </w:p>
        </w:tc>
      </w:tr>
    </w:tbl>
    <w:p w:rsidR="00F93730" w:rsidP="003670C3">
      <w:pPr>
        <w:pStyle w:val="NoPaddingFontSize1"/>
      </w:pPr>
    </w:p>
    <w:p w:rsidR="00F93730" w:rsidP="003670C3">
      <w:pPr>
        <w:pStyle w:val="NoPaddingFontSize1"/>
      </w:pPr>
    </w:p>
    <w:p w:rsidR="00000000" w:rsidRPr="003670C3" w:rsidP="003670C3">
      <w:pPr>
        <w:pStyle w:val="Heading1"/>
      </w:pPr>
      <w:bookmarkStart w:id="9" w:name="O_1191132"/>
      <w:bookmarkEnd w:id="9"/>
      <w:r w:rsidRPr="003670C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70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0C3" w:rsidP="003670C3">
            <w:pPr>
              <w:pStyle w:val="BodyText"/>
            </w:pPr>
            <w:r w:rsidRPr="003670C3">
              <w:t>This is a new unit. No equivalent unit.</w:t>
            </w:r>
          </w:p>
        </w:tc>
      </w:tr>
    </w:tbl>
    <w:p w:rsidR="00F93730" w:rsidP="003670C3">
      <w:pPr>
        <w:pStyle w:val="NoPaddingFontSize1"/>
      </w:pPr>
    </w:p>
    <w:p w:rsidR="00F93730" w:rsidP="003670C3">
      <w:pPr>
        <w:pStyle w:val="NoPaddingFontSize1"/>
      </w:pPr>
    </w:p>
    <w:p w:rsidR="00000000" w:rsidRPr="003670C3" w:rsidP="003670C3">
      <w:pPr>
        <w:pStyle w:val="Heading1"/>
      </w:pPr>
      <w:bookmarkStart w:id="10" w:name="O_1191139"/>
      <w:bookmarkEnd w:id="10"/>
      <w:r w:rsidRPr="003670C3">
        <w:t>Links</w:t>
      </w:r>
    </w:p>
    <w:p w:rsidR="00000000" w:rsidRPr="003670C3" w:rsidP="00F93730">
      <w:pPr>
        <w:pStyle w:val="BodyText"/>
      </w:pPr>
      <w:r w:rsidRPr="003670C3">
        <w:t>Companion Volume Implementat</w:t>
      </w:r>
      <w:r w:rsidRPr="003670C3">
        <w:t xml:space="preserve">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3005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670C3" w:rsidP="003670C3"/>
    <w:sectPr w:rsidSect="003670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0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0C3" w:rsidRPr="00F93730" w:rsidP="00F937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0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730" w:rsidP="003670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3730" w:rsidP="003670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93730" w:rsidP="003670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0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7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70C3" w:rsidRPr="00F93730" w:rsidP="00F937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0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730" w:rsidRPr="002D2AF8" w:rsidP="003670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TLIB0024 Use mobile electronic track warning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93730" w:rsidP="003670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0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70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70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70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70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70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70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70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70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70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70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70C3"/>
  </w:style>
  <w:style w:type="character" w:customStyle="1" w:styleId="Heading1Char">
    <w:name w:val="Heading 1 Char"/>
    <w:basedOn w:val="DefaultParagraphFont"/>
    <w:link w:val="Heading1"/>
    <w:rsid w:val="003670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70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70C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670C3"/>
    <w:rPr>
      <w:b/>
      <w:spacing w:val="0"/>
    </w:rPr>
  </w:style>
  <w:style w:type="paragraph" w:customStyle="1" w:styleId="SuperHeading">
    <w:name w:val="SuperHeading"/>
    <w:basedOn w:val="Normal"/>
    <w:rsid w:val="003670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70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670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70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70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70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70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70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70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70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70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70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70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70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70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70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70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70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70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70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70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70C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670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70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70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70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70C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70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70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70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70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70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70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70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70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70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70C3"/>
    <w:rPr>
      <w:i/>
    </w:rPr>
  </w:style>
  <w:style w:type="paragraph" w:styleId="Caption">
    <w:name w:val="caption"/>
    <w:basedOn w:val="BodyText"/>
    <w:next w:val="Normal"/>
    <w:qFormat/>
    <w:rsid w:val="003670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70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70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70C3"/>
  </w:style>
  <w:style w:type="paragraph" w:styleId="TableofFigures">
    <w:name w:val="table of figures"/>
    <w:basedOn w:val="Normal"/>
    <w:next w:val="Normal"/>
    <w:semiHidden/>
    <w:rsid w:val="003670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70C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670C3"/>
    <w:rPr>
      <w:rFonts w:ascii="Wingdings" w:hAnsi="Wingdings"/>
    </w:rPr>
  </w:style>
  <w:style w:type="paragraph" w:customStyle="1" w:styleId="TableHeading">
    <w:name w:val="Table Heading"/>
    <w:basedOn w:val="HeadingBase"/>
    <w:rsid w:val="003670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70C3"/>
    <w:rPr>
      <w:color w:val="0033CC"/>
      <w:u w:val="none"/>
    </w:rPr>
  </w:style>
  <w:style w:type="paragraph" w:customStyle="1" w:styleId="BodyTextRight">
    <w:name w:val="Body Text Right"/>
    <w:basedOn w:val="BodyText"/>
    <w:rsid w:val="003670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70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70C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70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70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70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70C3"/>
    <w:rPr>
      <w:sz w:val="32"/>
    </w:rPr>
  </w:style>
  <w:style w:type="paragraph" w:customStyle="1" w:styleId="HeadingProcedure">
    <w:name w:val="Heading Procedure"/>
    <w:basedOn w:val="HeadingBase"/>
    <w:next w:val="Normal"/>
    <w:rsid w:val="003670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70C3"/>
    <w:pPr>
      <w:spacing w:before="60" w:after="60"/>
    </w:pPr>
  </w:style>
  <w:style w:type="paragraph" w:styleId="ListContinue">
    <w:name w:val="List Continue"/>
    <w:basedOn w:val="List"/>
    <w:rsid w:val="003670C3"/>
    <w:pPr>
      <w:ind w:firstLine="0"/>
    </w:pPr>
  </w:style>
  <w:style w:type="paragraph" w:customStyle="1" w:styleId="ListNote">
    <w:name w:val="List Note"/>
    <w:basedOn w:val="List"/>
    <w:rsid w:val="003670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70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70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70C3"/>
    <w:rPr>
      <w:rFonts w:ascii="Courier New" w:hAnsi="Courier New"/>
    </w:rPr>
  </w:style>
  <w:style w:type="paragraph" w:customStyle="1" w:styleId="NoteBullet">
    <w:name w:val="Note Bullet"/>
    <w:basedOn w:val="Note"/>
    <w:rsid w:val="003670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70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70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70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70C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670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70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70C3"/>
    <w:rPr>
      <w:b/>
      <w:smallCaps/>
    </w:rPr>
  </w:style>
  <w:style w:type="paragraph" w:customStyle="1" w:styleId="TableListNumber">
    <w:name w:val="Table List Number"/>
    <w:basedOn w:val="ListNumber"/>
    <w:rsid w:val="003670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70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70C3"/>
    <w:pPr>
      <w:numPr>
        <w:numId w:val="7"/>
      </w:numPr>
    </w:pPr>
  </w:style>
  <w:style w:type="paragraph" w:customStyle="1" w:styleId="ListAlpha2">
    <w:name w:val="List Alpha 2"/>
    <w:basedOn w:val="List2"/>
    <w:rsid w:val="003670C3"/>
    <w:pPr>
      <w:numPr>
        <w:numId w:val="6"/>
      </w:numPr>
    </w:pPr>
  </w:style>
  <w:style w:type="paragraph" w:styleId="List2">
    <w:name w:val="List 2"/>
    <w:basedOn w:val="BodyText"/>
    <w:rsid w:val="003670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70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70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70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70C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70C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670C3"/>
    <w:pPr>
      <w:numPr>
        <w:numId w:val="2"/>
      </w:numPr>
    </w:pPr>
  </w:style>
  <w:style w:type="paragraph" w:styleId="ListContinue2">
    <w:name w:val="List Continue 2"/>
    <w:basedOn w:val="List2"/>
    <w:rsid w:val="003670C3"/>
    <w:pPr>
      <w:ind w:firstLine="0"/>
    </w:pPr>
  </w:style>
  <w:style w:type="paragraph" w:styleId="ListContinue3">
    <w:name w:val="List Continue 3"/>
    <w:basedOn w:val="List3"/>
    <w:rsid w:val="003670C3"/>
    <w:pPr>
      <w:ind w:left="1021" w:firstLine="0"/>
    </w:pPr>
  </w:style>
  <w:style w:type="paragraph" w:styleId="ListContinue4">
    <w:name w:val="List Continue 4"/>
    <w:basedOn w:val="List4"/>
    <w:rsid w:val="003670C3"/>
    <w:pPr>
      <w:ind w:firstLine="0"/>
    </w:pPr>
  </w:style>
  <w:style w:type="paragraph" w:styleId="ListContinue5">
    <w:name w:val="List Continue 5"/>
    <w:basedOn w:val="List5"/>
    <w:rsid w:val="003670C3"/>
    <w:pPr>
      <w:ind w:firstLine="0"/>
    </w:pPr>
  </w:style>
  <w:style w:type="paragraph" w:styleId="ListNumber3">
    <w:name w:val="List Number 3"/>
    <w:basedOn w:val="List3"/>
    <w:rsid w:val="003670C3"/>
    <w:pPr>
      <w:numPr>
        <w:numId w:val="3"/>
      </w:numPr>
    </w:pPr>
  </w:style>
  <w:style w:type="paragraph" w:styleId="ListNumber4">
    <w:name w:val="List Number 4"/>
    <w:basedOn w:val="List4"/>
    <w:rsid w:val="003670C3"/>
    <w:pPr>
      <w:numPr>
        <w:numId w:val="4"/>
      </w:numPr>
    </w:pPr>
  </w:style>
  <w:style w:type="paragraph" w:styleId="ListNumber5">
    <w:name w:val="List Number 5"/>
    <w:basedOn w:val="List5"/>
    <w:rsid w:val="003670C3"/>
    <w:pPr>
      <w:numPr>
        <w:numId w:val="5"/>
      </w:numPr>
    </w:pPr>
  </w:style>
  <w:style w:type="paragraph" w:styleId="BlockText">
    <w:name w:val="Block Text"/>
    <w:basedOn w:val="Normal"/>
    <w:rsid w:val="003670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70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70C3"/>
    <w:rPr>
      <w:sz w:val="16"/>
      <w:vertAlign w:val="superscript"/>
    </w:rPr>
  </w:style>
  <w:style w:type="character" w:customStyle="1" w:styleId="Symbols">
    <w:name w:val="Symbols"/>
    <w:basedOn w:val="DefaultParagraphFont"/>
    <w:rsid w:val="003670C3"/>
    <w:rPr>
      <w:rFonts w:ascii="Symbol" w:hAnsi="Symbol"/>
    </w:rPr>
  </w:style>
  <w:style w:type="character" w:customStyle="1" w:styleId="MenuOptions">
    <w:name w:val="Menu Options"/>
    <w:basedOn w:val="DefaultParagraphFont"/>
    <w:rsid w:val="003670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70C3"/>
    <w:rPr>
      <w:b/>
    </w:rPr>
  </w:style>
  <w:style w:type="character" w:customStyle="1" w:styleId="Underlined">
    <w:name w:val="Underlined"/>
    <w:basedOn w:val="DefaultParagraphFont"/>
    <w:rsid w:val="003670C3"/>
    <w:rPr>
      <w:u w:val="single"/>
    </w:rPr>
  </w:style>
  <w:style w:type="paragraph" w:customStyle="1" w:styleId="TableBodyTextRight">
    <w:name w:val="Table Body Text Right"/>
    <w:basedOn w:val="TableBodyText"/>
    <w:rsid w:val="003670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70C3"/>
    <w:rPr>
      <w:sz w:val="18"/>
    </w:rPr>
  </w:style>
  <w:style w:type="paragraph" w:customStyle="1" w:styleId="BodySmallRight">
    <w:name w:val="Body Small Right"/>
    <w:basedOn w:val="BodyTextRight"/>
    <w:rsid w:val="003670C3"/>
    <w:rPr>
      <w:sz w:val="18"/>
      <w:szCs w:val="18"/>
    </w:rPr>
  </w:style>
  <w:style w:type="paragraph" w:customStyle="1" w:styleId="MarginEdition">
    <w:name w:val="Margin Edition"/>
    <w:basedOn w:val="MarginNote"/>
    <w:rsid w:val="003670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70C3"/>
    <w:rPr>
      <w:sz w:val="2"/>
      <w:szCs w:val="2"/>
    </w:rPr>
  </w:style>
  <w:style w:type="character" w:customStyle="1" w:styleId="Small">
    <w:name w:val="Small"/>
    <w:basedOn w:val="DefaultParagraphFont"/>
    <w:rsid w:val="003670C3"/>
    <w:rPr>
      <w:sz w:val="16"/>
    </w:rPr>
  </w:style>
  <w:style w:type="paragraph" w:customStyle="1" w:styleId="WideTable">
    <w:name w:val="Wide Table"/>
    <w:basedOn w:val="Normal"/>
    <w:rsid w:val="003670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70C3"/>
  </w:style>
  <w:style w:type="paragraph" w:styleId="Quote">
    <w:name w:val="Quote"/>
    <w:basedOn w:val="Heading1"/>
    <w:link w:val="QuoteChar"/>
    <w:qFormat/>
    <w:rsid w:val="003670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70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70C3"/>
    <w:pPr>
      <w:pageBreakBefore/>
    </w:pPr>
  </w:style>
  <w:style w:type="paragraph" w:customStyle="1" w:styleId="Border">
    <w:name w:val="Border"/>
    <w:basedOn w:val="Normal"/>
    <w:qFormat/>
    <w:rsid w:val="003670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70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70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70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0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70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70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70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70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70C3"/>
    <w:rPr>
      <w:u w:val="single"/>
    </w:rPr>
  </w:style>
  <w:style w:type="character" w:customStyle="1" w:styleId="BoldandItalics">
    <w:name w:val="Bold and Italics"/>
    <w:qFormat/>
    <w:rsid w:val="003670C3"/>
    <w:rPr>
      <w:b/>
      <w:i/>
      <w:u w:val="none"/>
    </w:rPr>
  </w:style>
  <w:style w:type="paragraph" w:styleId="BalloonText">
    <w:name w:val="Balloon Text"/>
    <w:basedOn w:val="Normal"/>
    <w:link w:val="BalloonTextChar"/>
    <w:rsid w:val="003670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70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70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70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70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70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70C3"/>
    <w:pPr>
      <w:spacing w:before="0" w:after="0"/>
    </w:pPr>
  </w:style>
  <w:style w:type="paragraph" w:customStyle="1" w:styleId="BodyTextBold">
    <w:name w:val="Body Text Bold"/>
    <w:basedOn w:val="BodyText"/>
    <w:qFormat/>
    <w:rsid w:val="003670C3"/>
    <w:rPr>
      <w:b/>
    </w:rPr>
  </w:style>
  <w:style w:type="character" w:styleId="Hyperlink">
    <w:name w:val="Hyperlink"/>
    <w:basedOn w:val="DefaultParagraphFont"/>
    <w:uiPriority w:val="99"/>
    <w:unhideWhenUsed/>
    <w:rsid w:val="00F937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550</Words>
  <Characters>3386</Characters>
  <Application>Microsoft Office Word</Application>
  <DocSecurity>0</DocSecurity>
  <Lines>153</Lines>
  <Paragraphs>75</Paragraphs>
  <ScaleCrop>false</ScaleCrop>
  <Company>Author-it Software Corporation Ltd.</Company>
  <LinksUpToDate>false</LinksUpToDate>
  <CharactersWithSpaces>3861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TLIB0024 Use mobile electronic track warning system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2024-07-12T07:47:00Z</dcterms:created>
  <dcterms:modified xsi:type="dcterms:W3CDTF">2024-07-12T07:47:00Z</dcterms:modified>
</cp:coreProperties>
</file>