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B1F" w:rsidP="002C2B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TLIB0010 Provide first-level rail rolling stock technical support remotely</w:t>
      </w:r>
      <w:r>
        <w:fldChar w:fldCharType="end"/>
      </w:r>
    </w:p>
    <w:p w:rsidR="002C2B1F" w:rsidP="002C2B1F">
      <w:pPr>
        <w:pStyle w:val="Version"/>
        <w:sectPr w:rsidSect="002156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5659" w:rsidP="00215659">
      <w:pPr>
        <w:pStyle w:val="SuperHeading"/>
      </w:pPr>
      <w:r w:rsidRPr="00215659">
        <w:t>TLIB0010 Provide first-level rail rolling stock technical support remotely</w:t>
      </w:r>
    </w:p>
    <w:p w:rsidR="00000000" w:rsidRPr="00215659" w:rsidP="00215659">
      <w:pPr>
        <w:pStyle w:val="Heading1"/>
      </w:pPr>
      <w:bookmarkStart w:id="1" w:name="O_1091031"/>
      <w:bookmarkEnd w:id="1"/>
      <w:r w:rsidRPr="002156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t>Release 1. This is the first release of this unit of competency in the TLI Transport and Logistics Training Package.</w:t>
            </w:r>
          </w:p>
        </w:tc>
      </w:tr>
    </w:tbl>
    <w:p w:rsidR="00000000" w:rsidRPr="00215659" w:rsidP="00215659">
      <w:pPr>
        <w:pStyle w:val="NoPaddingFontSize1"/>
      </w:pPr>
    </w:p>
    <w:p w:rsidR="00000000" w:rsidRPr="00215659" w:rsidP="00215659">
      <w:pPr>
        <w:pStyle w:val="AllowPageBreak"/>
      </w:pPr>
    </w:p>
    <w:p w:rsidR="00000000" w:rsidRPr="00215659" w:rsidP="00215659">
      <w:pPr>
        <w:pStyle w:val="Heading1"/>
      </w:pPr>
      <w:bookmarkStart w:id="2" w:name="O_1091032"/>
      <w:bookmarkEnd w:id="2"/>
      <w:r w:rsidRPr="0021565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t>This unit involves the skills and knowledge required to provide first-level rail rolling stock technical support remotely.</w:t>
            </w:r>
          </w:p>
          <w:p w:rsidR="00000000" w:rsidRPr="00215659" w:rsidP="00215659">
            <w:pPr>
              <w:pStyle w:val="BodyText"/>
            </w:pPr>
            <w:r w:rsidRPr="00215659">
              <w:t>It includes determining the rail user, rolling stock being used and identifying faults. It also includes proving resoluti</w:t>
            </w:r>
            <w:r w:rsidRPr="00215659">
              <w:t>on of issues, whilst maintaining effective communications.</w:t>
            </w:r>
          </w:p>
          <w:p w:rsidR="00000000" w:rsidRPr="00215659" w:rsidP="00215659">
            <w:pPr>
              <w:pStyle w:val="BodyText"/>
            </w:pPr>
            <w:r w:rsidRPr="00215659">
              <w:t>This unit applies to a technically competent or experienced person who, while working under a level of supervision, has responsibility in a frontline technical support capacity to exercise discreti</w:t>
            </w:r>
            <w:r w:rsidRPr="00215659">
              <w:t>on and judgement using appropriate rolling stock knowledge to provide technical assistance and remote help desk support to rail users.</w:t>
            </w:r>
          </w:p>
          <w:p w:rsidR="00000000" w:rsidRPr="00215659" w:rsidP="00215659">
            <w:pPr>
              <w:pStyle w:val="BodyText"/>
            </w:pPr>
            <w:r w:rsidRPr="00215659">
              <w:rPr>
                <w:rStyle w:val="SpecialBold"/>
              </w:rPr>
              <w:t>Job Role</w:t>
            </w:r>
            <w:r w:rsidRPr="00215659">
              <w:t>:</w:t>
            </w:r>
          </w:p>
          <w:p w:rsidR="00000000" w:rsidRPr="00215659" w:rsidP="00215659">
            <w:pPr>
              <w:pStyle w:val="BodyText"/>
            </w:pPr>
            <w:r w:rsidRPr="00215659">
              <w:t>Job roles and titles vary across different rail sectors. Possible job titles relevant to this unit include:</w:t>
            </w:r>
          </w:p>
          <w:p w:rsidR="00000000" w:rsidRPr="00215659" w:rsidP="00215659">
            <w:pPr>
              <w:pStyle w:val="ListBullet"/>
            </w:pPr>
            <w:r w:rsidRPr="00215659">
              <w:t>as</w:t>
            </w:r>
            <w:r w:rsidRPr="00215659">
              <w:t>set help.</w:t>
            </w:r>
          </w:p>
          <w:p w:rsidR="00000000" w:rsidRPr="00215659" w:rsidP="00215659">
            <w:pPr>
              <w:pStyle w:val="BodyText"/>
            </w:pPr>
            <w:r w:rsidRPr="00215659">
              <w:t>No licensing, legislative, or certification requirements apply to this unit at the time of publication.</w:t>
            </w:r>
          </w:p>
        </w:tc>
      </w:tr>
    </w:tbl>
    <w:p w:rsidR="00000000" w:rsidRPr="00215659" w:rsidP="00215659">
      <w:pPr>
        <w:pStyle w:val="NoPaddingFontSize1"/>
      </w:pPr>
    </w:p>
    <w:p w:rsidR="00000000" w:rsidRPr="00215659" w:rsidP="00215659">
      <w:pPr>
        <w:pStyle w:val="AllowPageBreak"/>
      </w:pPr>
    </w:p>
    <w:p w:rsidR="00000000" w:rsidRPr="00215659" w:rsidP="00215659">
      <w:pPr>
        <w:pStyle w:val="Heading1"/>
      </w:pPr>
      <w:bookmarkStart w:id="3" w:name="O_1091033"/>
      <w:bookmarkEnd w:id="3"/>
      <w:r w:rsidRPr="0021565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t>Not applicable.</w:t>
            </w:r>
          </w:p>
        </w:tc>
      </w:tr>
    </w:tbl>
    <w:p w:rsidR="00000000" w:rsidRPr="00215659" w:rsidP="00215659">
      <w:pPr>
        <w:pStyle w:val="NoPaddingFontSize1"/>
      </w:pPr>
    </w:p>
    <w:p w:rsidR="00000000" w:rsidRPr="00215659" w:rsidP="00215659">
      <w:pPr>
        <w:pStyle w:val="AllowPageBreak"/>
      </w:pPr>
    </w:p>
    <w:p w:rsidR="00000000" w:rsidRPr="00215659" w:rsidP="00215659">
      <w:pPr>
        <w:pStyle w:val="Heading1"/>
      </w:pPr>
      <w:bookmarkStart w:id="4" w:name="O_1091034"/>
      <w:bookmarkEnd w:id="4"/>
      <w:r w:rsidRPr="0021565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t>B - Equipment Checking and Maintenance</w:t>
            </w:r>
          </w:p>
        </w:tc>
      </w:tr>
    </w:tbl>
    <w:p w:rsidR="00000000" w:rsidRPr="00215659" w:rsidP="00215659">
      <w:pPr>
        <w:pStyle w:val="NoPaddingFontSize1"/>
      </w:pPr>
    </w:p>
    <w:p w:rsidR="00000000" w:rsidRPr="00215659" w:rsidP="00215659">
      <w:pPr>
        <w:pStyle w:val="AllowPageBreak"/>
      </w:pPr>
    </w:p>
    <w:p w:rsidR="00000000" w:rsidRPr="00215659" w:rsidP="00215659">
      <w:pPr>
        <w:pStyle w:val="Heading1"/>
      </w:pPr>
      <w:bookmarkStart w:id="5" w:name="O_1091035"/>
      <w:bookmarkEnd w:id="5"/>
      <w:r w:rsidRPr="0021565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t>Rail sector.</w:t>
            </w:r>
          </w:p>
        </w:tc>
      </w:tr>
    </w:tbl>
    <w:p w:rsidR="00000000" w:rsidRPr="00215659" w:rsidP="00215659">
      <w:pPr>
        <w:pStyle w:val="NoPaddingFontSize1"/>
      </w:pPr>
    </w:p>
    <w:p w:rsidR="00000000" w:rsidRPr="00215659" w:rsidP="00215659">
      <w:pPr>
        <w:pStyle w:val="AllowPageBreak"/>
      </w:pPr>
    </w:p>
    <w:p w:rsidR="00000000" w:rsidRPr="00215659" w:rsidP="00215659">
      <w:pPr>
        <w:pStyle w:val="Heading1"/>
      </w:pPr>
      <w:bookmarkStart w:id="6" w:name="O_1091036"/>
      <w:bookmarkEnd w:id="6"/>
      <w:r w:rsidRPr="0021565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PERFORMANCE CRITERIA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>Performance criteria describe the performance needed to demonstrate achievement of the element.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rPr>
                <w:rStyle w:val="SpecialBold"/>
              </w:rPr>
              <w:t>1.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rPr>
                <w:rStyle w:val="SpecialBold"/>
              </w:rPr>
              <w:t>Determine the rail user support issue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>Eligibility status of the rail user experiencing difficulties is determined in accordance with workplace procedur</w:t>
            </w:r>
            <w:r w:rsidRPr="00215659">
              <w:t>es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>Rolling stock fault is clarified with rail user using active listening and questioning techniques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>Safety and environmental hazards are identified, risks assessed and control measures implemented in accordance wit</w:t>
            </w:r>
            <w:r w:rsidRPr="00215659">
              <w:t>h regulator and workplace procedures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>Nature of the rolling stock fault is confirmed using technical language that is appropriate for the rail user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rPr>
                <w:rStyle w:val="SpecialBold"/>
              </w:rPr>
              <w:t>2.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rPr>
                <w:rStyle w:val="SpecialBold"/>
              </w:rPr>
              <w:t>Identify the rolling stock being used by the rail user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>Application of rolling stock being used</w:t>
            </w:r>
            <w:r w:rsidRPr="00215659">
              <w:t xml:space="preserve"> by the rail user is identified and confirmed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>Rolling stock job function outcome, location and the stage of the process they have reached is identified, using active listening and questioning techniques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>Rail user is stepped back to the beginning of the process using plain language and effective problem-solving process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>Rail user is walked through the problem-solving process in a clear and logical manner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rPr>
                <w:rStyle w:val="SpecialBold"/>
              </w:rPr>
              <w:t>3.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rPr>
                <w:rStyle w:val="SpecialBold"/>
              </w:rPr>
              <w:t>Confirm resolution of rail user support is</w:t>
            </w:r>
            <w:r w:rsidRPr="00215659">
              <w:rPr>
                <w:rStyle w:val="SpecialBold"/>
              </w:rPr>
              <w:t>sue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>Factors that may have created the fault are determined, described and eliminated in accordance with effective problem-solving process and workplace procedures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 xml:space="preserve">Rolling stock recovery is explained and the rail user is guided through the appropriate resolution process for the identified issue 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>Sufficient instructions are provided to the rail user to enable effective handling and resolution of the rolling sto</w:t>
            </w:r>
            <w:r w:rsidRPr="00215659">
              <w:t>ck issue, if it recurs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>Next level escalation is offered, if the rail user request is not possible to resolve under current circumstances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 xml:space="preserve">Rolling stock issue resolution and actions taken are </w:t>
            </w:r>
            <w:r w:rsidRPr="00215659">
              <w:t>documented in accordance with workplace procedures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rPr>
                <w:rStyle w:val="SpecialBold"/>
              </w:rPr>
              <w:t>4.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rPr>
                <w:rStyle w:val="SpecialBold"/>
              </w:rPr>
              <w:t xml:space="preserve">Maintain effective communications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>Resolution of rolling stock fault is confirmed with rail user in accordance with workplace procedures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>Rail user satisfaction with the current service is confirmed in accordance with workplace procedures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t>Supplementary support or follow-up actions are discussed in accordance with workplace procedures</w:t>
            </w:r>
          </w:p>
        </w:tc>
      </w:tr>
      <w:tr w:rsidTr="00215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9">
            <w:pPr>
              <w:pStyle w:val="BodyText"/>
              <w:rPr>
                <w:lang w:val="en-NZ"/>
              </w:rPr>
            </w:pPr>
            <w:r w:rsidRPr="00215659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t>Relevant rolling stock records are completed and required follow-up actions recorded in accordance with workplace procedures and requirements</w:t>
            </w:r>
          </w:p>
        </w:tc>
      </w:tr>
    </w:tbl>
    <w:p w:rsidR="00000000" w:rsidRPr="00215659" w:rsidP="00215659">
      <w:pPr>
        <w:pStyle w:val="NoPaddingFontSize1"/>
      </w:pPr>
    </w:p>
    <w:p w:rsidR="00000000" w:rsidRPr="00215659" w:rsidP="00215659">
      <w:pPr>
        <w:pStyle w:val="AllowPageBreak"/>
      </w:pPr>
    </w:p>
    <w:p w:rsidR="00000000" w:rsidRPr="00215659" w:rsidP="00215659">
      <w:pPr>
        <w:pStyle w:val="Heading1"/>
      </w:pPr>
      <w:bookmarkStart w:id="7" w:name="O_1091037"/>
      <w:bookmarkEnd w:id="7"/>
      <w:r w:rsidRPr="0021565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t>Foundation skills essential to performance are explicit in the performance criteria of this unit of competency.</w:t>
            </w:r>
          </w:p>
        </w:tc>
      </w:tr>
    </w:tbl>
    <w:p w:rsidR="00000000" w:rsidRPr="00215659" w:rsidP="00215659">
      <w:pPr>
        <w:pStyle w:val="NoPaddingFontSize1"/>
      </w:pPr>
    </w:p>
    <w:p w:rsidR="00000000" w:rsidRPr="00215659" w:rsidP="00215659">
      <w:pPr>
        <w:pStyle w:val="AllowPageBreak"/>
      </w:pPr>
    </w:p>
    <w:p w:rsidR="00000000" w:rsidRPr="00215659" w:rsidP="00215659">
      <w:pPr>
        <w:pStyle w:val="Heading1"/>
      </w:pPr>
      <w:bookmarkStart w:id="8" w:name="O_1091038"/>
      <w:bookmarkEnd w:id="8"/>
      <w:r w:rsidRPr="0021565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t>Range is restricted to essential operating conditions and any other variables essential to the work environment.</w:t>
            </w:r>
          </w:p>
          <w:p w:rsidR="00000000" w:rsidRPr="00215659" w:rsidP="00215659">
            <w:pPr>
              <w:pStyle w:val="BodyText"/>
            </w:pPr>
            <w:r w:rsidRPr="00215659">
              <w:t>Non-essential conditions can be found in the Companion Volume Implementation Guide.</w:t>
            </w:r>
          </w:p>
        </w:tc>
      </w:tr>
    </w:tbl>
    <w:p w:rsidR="00000000" w:rsidRPr="00215659" w:rsidP="00215659">
      <w:pPr>
        <w:pStyle w:val="NoPaddingFontSize1"/>
      </w:pPr>
    </w:p>
    <w:p w:rsidR="00000000" w:rsidRPr="00215659" w:rsidP="00215659">
      <w:pPr>
        <w:pStyle w:val="AllowPageBreak"/>
      </w:pPr>
    </w:p>
    <w:p w:rsidR="00000000" w:rsidRPr="00215659" w:rsidP="00215659">
      <w:pPr>
        <w:pStyle w:val="Heading1"/>
      </w:pPr>
      <w:bookmarkStart w:id="9" w:name="O_1091039"/>
      <w:bookmarkEnd w:id="9"/>
      <w:r w:rsidRPr="0021565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9" w:rsidP="00215659">
            <w:pPr>
              <w:pStyle w:val="BodyText"/>
            </w:pPr>
            <w:r w:rsidRPr="00215659">
              <w:t>This is a new</w:t>
            </w:r>
            <w:r w:rsidRPr="00215659">
              <w:t xml:space="preserve"> unit.  No equivalent unit.</w:t>
            </w:r>
          </w:p>
        </w:tc>
      </w:tr>
    </w:tbl>
    <w:p w:rsidR="00000000" w:rsidRPr="00215659" w:rsidP="00215659">
      <w:pPr>
        <w:pStyle w:val="NoPaddingFontSize1"/>
      </w:pPr>
    </w:p>
    <w:p w:rsidR="00000000" w:rsidRPr="00215659" w:rsidP="00215659">
      <w:pPr>
        <w:pStyle w:val="AllowPageBreak"/>
      </w:pPr>
    </w:p>
    <w:p w:rsidR="00000000" w:rsidRPr="00215659" w:rsidP="00215659">
      <w:pPr>
        <w:pStyle w:val="Heading1"/>
      </w:pPr>
      <w:bookmarkStart w:id="10" w:name="O_1091046"/>
      <w:bookmarkEnd w:id="10"/>
      <w:r w:rsidRPr="00215659">
        <w:t>Links</w:t>
      </w:r>
    </w:p>
    <w:p w:rsidR="00000000" w:rsidRPr="00215659" w:rsidP="002C2B1F">
      <w:pPr>
        <w:pStyle w:val="BodyText"/>
      </w:pPr>
      <w:r w:rsidRPr="002156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2416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15659" w:rsidP="00215659"/>
    <w:sectPr w:rsidSect="002156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59" w:rsidRPr="002C2B1F" w:rsidP="002C2B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B1F" w:rsidP="00215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B1F" w:rsidP="00215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C2B1F" w:rsidP="002156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B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659" w:rsidRPr="002C2B1F" w:rsidP="002C2B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B1F" w:rsidRPr="002D2AF8" w:rsidP="00215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TLIB0010 Provide first-level rail rolling stock technical support remotely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C2B1F" w:rsidP="002156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766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4448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6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6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6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6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6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6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6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6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6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6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6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659"/>
  </w:style>
  <w:style w:type="character" w:customStyle="1" w:styleId="Heading1Char">
    <w:name w:val="Heading 1 Char"/>
    <w:basedOn w:val="DefaultParagraphFont"/>
    <w:link w:val="Heading1"/>
    <w:rsid w:val="002156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6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6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56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5659"/>
    <w:rPr>
      <w:b/>
      <w:spacing w:val="0"/>
    </w:rPr>
  </w:style>
  <w:style w:type="paragraph" w:customStyle="1" w:styleId="SuperHeading">
    <w:name w:val="SuperHeading"/>
    <w:basedOn w:val="Normal"/>
    <w:rsid w:val="002156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6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56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6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6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6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6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6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6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6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6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6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6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6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6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6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6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56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56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6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6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56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56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6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6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6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6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6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6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6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6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5659"/>
    <w:rPr>
      <w:i/>
    </w:rPr>
  </w:style>
  <w:style w:type="paragraph" w:styleId="Caption">
    <w:name w:val="caption"/>
    <w:basedOn w:val="BodyText"/>
    <w:next w:val="Normal"/>
    <w:qFormat/>
    <w:rsid w:val="002156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6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6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659"/>
  </w:style>
  <w:style w:type="paragraph" w:styleId="TableofFigures">
    <w:name w:val="table of figures"/>
    <w:basedOn w:val="Normal"/>
    <w:next w:val="Normal"/>
    <w:semiHidden/>
    <w:rsid w:val="002156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6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5659"/>
    <w:rPr>
      <w:rFonts w:ascii="Wingdings" w:hAnsi="Wingdings"/>
    </w:rPr>
  </w:style>
  <w:style w:type="paragraph" w:customStyle="1" w:styleId="TableHeading">
    <w:name w:val="Table Heading"/>
    <w:basedOn w:val="HeadingBase"/>
    <w:rsid w:val="002156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659"/>
    <w:rPr>
      <w:color w:val="0033CC"/>
      <w:u w:val="none"/>
    </w:rPr>
  </w:style>
  <w:style w:type="paragraph" w:customStyle="1" w:styleId="BodyTextRight">
    <w:name w:val="Body Text Right"/>
    <w:basedOn w:val="BodyText"/>
    <w:rsid w:val="002156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6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6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6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6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6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659"/>
    <w:rPr>
      <w:sz w:val="32"/>
    </w:rPr>
  </w:style>
  <w:style w:type="paragraph" w:customStyle="1" w:styleId="HeadingProcedure">
    <w:name w:val="Heading Procedure"/>
    <w:basedOn w:val="HeadingBase"/>
    <w:next w:val="Normal"/>
    <w:rsid w:val="002156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659"/>
    <w:pPr>
      <w:spacing w:before="60" w:after="60"/>
    </w:pPr>
  </w:style>
  <w:style w:type="paragraph" w:styleId="ListContinue">
    <w:name w:val="List Continue"/>
    <w:basedOn w:val="List"/>
    <w:rsid w:val="00215659"/>
    <w:pPr>
      <w:ind w:firstLine="0"/>
    </w:pPr>
  </w:style>
  <w:style w:type="paragraph" w:customStyle="1" w:styleId="ListNote">
    <w:name w:val="List Note"/>
    <w:basedOn w:val="List"/>
    <w:rsid w:val="002156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6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6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659"/>
    <w:rPr>
      <w:rFonts w:ascii="Courier New" w:hAnsi="Courier New"/>
    </w:rPr>
  </w:style>
  <w:style w:type="paragraph" w:customStyle="1" w:styleId="NoteBullet">
    <w:name w:val="Note Bullet"/>
    <w:basedOn w:val="Note"/>
    <w:rsid w:val="002156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6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6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6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6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56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6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659"/>
    <w:rPr>
      <w:b/>
      <w:smallCaps/>
    </w:rPr>
  </w:style>
  <w:style w:type="paragraph" w:customStyle="1" w:styleId="TableListNumber">
    <w:name w:val="Table List Number"/>
    <w:basedOn w:val="ListNumber"/>
    <w:rsid w:val="002156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6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659"/>
    <w:pPr>
      <w:numPr>
        <w:numId w:val="8"/>
      </w:numPr>
    </w:pPr>
  </w:style>
  <w:style w:type="paragraph" w:customStyle="1" w:styleId="ListAlpha2">
    <w:name w:val="List Alpha 2"/>
    <w:basedOn w:val="List2"/>
    <w:rsid w:val="00215659"/>
    <w:pPr>
      <w:numPr>
        <w:numId w:val="7"/>
      </w:numPr>
    </w:pPr>
  </w:style>
  <w:style w:type="paragraph" w:styleId="List2">
    <w:name w:val="List 2"/>
    <w:basedOn w:val="BodyText"/>
    <w:rsid w:val="002156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6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6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6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6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6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5659"/>
    <w:pPr>
      <w:numPr>
        <w:numId w:val="3"/>
      </w:numPr>
    </w:pPr>
  </w:style>
  <w:style w:type="paragraph" w:styleId="ListContinue2">
    <w:name w:val="List Continue 2"/>
    <w:basedOn w:val="List2"/>
    <w:rsid w:val="00215659"/>
    <w:pPr>
      <w:ind w:firstLine="0"/>
    </w:pPr>
  </w:style>
  <w:style w:type="paragraph" w:styleId="ListContinue3">
    <w:name w:val="List Continue 3"/>
    <w:basedOn w:val="List3"/>
    <w:rsid w:val="00215659"/>
    <w:pPr>
      <w:ind w:left="1021" w:firstLine="0"/>
    </w:pPr>
  </w:style>
  <w:style w:type="paragraph" w:styleId="ListContinue4">
    <w:name w:val="List Continue 4"/>
    <w:basedOn w:val="List4"/>
    <w:rsid w:val="00215659"/>
    <w:pPr>
      <w:ind w:firstLine="0"/>
    </w:pPr>
  </w:style>
  <w:style w:type="paragraph" w:styleId="ListContinue5">
    <w:name w:val="List Continue 5"/>
    <w:basedOn w:val="List5"/>
    <w:rsid w:val="00215659"/>
    <w:pPr>
      <w:ind w:firstLine="0"/>
    </w:pPr>
  </w:style>
  <w:style w:type="paragraph" w:styleId="ListNumber3">
    <w:name w:val="List Number 3"/>
    <w:basedOn w:val="List3"/>
    <w:rsid w:val="00215659"/>
    <w:pPr>
      <w:numPr>
        <w:numId w:val="4"/>
      </w:numPr>
    </w:pPr>
  </w:style>
  <w:style w:type="paragraph" w:styleId="ListNumber4">
    <w:name w:val="List Number 4"/>
    <w:basedOn w:val="List4"/>
    <w:rsid w:val="00215659"/>
    <w:pPr>
      <w:numPr>
        <w:numId w:val="5"/>
      </w:numPr>
    </w:pPr>
  </w:style>
  <w:style w:type="paragraph" w:styleId="ListNumber5">
    <w:name w:val="List Number 5"/>
    <w:basedOn w:val="List5"/>
    <w:rsid w:val="00215659"/>
    <w:pPr>
      <w:numPr>
        <w:numId w:val="6"/>
      </w:numPr>
    </w:pPr>
  </w:style>
  <w:style w:type="paragraph" w:styleId="BlockText">
    <w:name w:val="Block Text"/>
    <w:basedOn w:val="Normal"/>
    <w:rsid w:val="002156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6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659"/>
    <w:rPr>
      <w:sz w:val="16"/>
      <w:vertAlign w:val="superscript"/>
    </w:rPr>
  </w:style>
  <w:style w:type="character" w:customStyle="1" w:styleId="Symbols">
    <w:name w:val="Symbols"/>
    <w:basedOn w:val="DefaultParagraphFont"/>
    <w:rsid w:val="00215659"/>
    <w:rPr>
      <w:rFonts w:ascii="Symbol" w:hAnsi="Symbol"/>
    </w:rPr>
  </w:style>
  <w:style w:type="character" w:customStyle="1" w:styleId="MenuOptions">
    <w:name w:val="Menu Options"/>
    <w:basedOn w:val="DefaultParagraphFont"/>
    <w:rsid w:val="002156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659"/>
    <w:rPr>
      <w:b/>
    </w:rPr>
  </w:style>
  <w:style w:type="character" w:customStyle="1" w:styleId="Underlined">
    <w:name w:val="Underlined"/>
    <w:basedOn w:val="DefaultParagraphFont"/>
    <w:rsid w:val="00215659"/>
    <w:rPr>
      <w:u w:val="single"/>
    </w:rPr>
  </w:style>
  <w:style w:type="paragraph" w:customStyle="1" w:styleId="TableBodyTextRight">
    <w:name w:val="Table Body Text Right"/>
    <w:basedOn w:val="TableBodyText"/>
    <w:rsid w:val="002156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659"/>
    <w:rPr>
      <w:sz w:val="18"/>
    </w:rPr>
  </w:style>
  <w:style w:type="paragraph" w:customStyle="1" w:styleId="BodySmallRight">
    <w:name w:val="Body Small Right"/>
    <w:basedOn w:val="BodyTextRight"/>
    <w:rsid w:val="00215659"/>
    <w:rPr>
      <w:sz w:val="18"/>
      <w:szCs w:val="18"/>
    </w:rPr>
  </w:style>
  <w:style w:type="paragraph" w:customStyle="1" w:styleId="MarginEdition">
    <w:name w:val="Margin Edition"/>
    <w:basedOn w:val="MarginNote"/>
    <w:rsid w:val="002156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659"/>
    <w:rPr>
      <w:sz w:val="2"/>
      <w:szCs w:val="2"/>
    </w:rPr>
  </w:style>
  <w:style w:type="character" w:customStyle="1" w:styleId="Small">
    <w:name w:val="Small"/>
    <w:basedOn w:val="DefaultParagraphFont"/>
    <w:rsid w:val="00215659"/>
    <w:rPr>
      <w:sz w:val="16"/>
    </w:rPr>
  </w:style>
  <w:style w:type="paragraph" w:customStyle="1" w:styleId="WideTable">
    <w:name w:val="Wide Table"/>
    <w:basedOn w:val="Normal"/>
    <w:rsid w:val="002156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659"/>
  </w:style>
  <w:style w:type="paragraph" w:styleId="Quote">
    <w:name w:val="Quote"/>
    <w:basedOn w:val="Heading1"/>
    <w:link w:val="QuoteChar"/>
    <w:qFormat/>
    <w:rsid w:val="002156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6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659"/>
    <w:pPr>
      <w:pageBreakBefore/>
    </w:pPr>
  </w:style>
  <w:style w:type="paragraph" w:customStyle="1" w:styleId="Border">
    <w:name w:val="Border"/>
    <w:basedOn w:val="Normal"/>
    <w:qFormat/>
    <w:rsid w:val="002156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6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6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6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6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6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6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6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6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659"/>
    <w:rPr>
      <w:u w:val="single"/>
    </w:rPr>
  </w:style>
  <w:style w:type="character" w:customStyle="1" w:styleId="BoldandItalics">
    <w:name w:val="Bold and Italics"/>
    <w:qFormat/>
    <w:rsid w:val="00215659"/>
    <w:rPr>
      <w:b/>
      <w:i/>
      <w:u w:val="none"/>
    </w:rPr>
  </w:style>
  <w:style w:type="paragraph" w:styleId="BalloonText">
    <w:name w:val="Balloon Text"/>
    <w:basedOn w:val="Normal"/>
    <w:link w:val="BalloonTextChar"/>
    <w:rsid w:val="002156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6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6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6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6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6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659"/>
    <w:pPr>
      <w:spacing w:before="0" w:after="0"/>
    </w:pPr>
  </w:style>
  <w:style w:type="paragraph" w:customStyle="1" w:styleId="BodyTextBold">
    <w:name w:val="Body Text Bold"/>
    <w:basedOn w:val="BodyText"/>
    <w:qFormat/>
    <w:rsid w:val="00215659"/>
    <w:rPr>
      <w:b/>
    </w:rPr>
  </w:style>
  <w:style w:type="character" w:styleId="Hyperlink">
    <w:name w:val="Hyperlink"/>
    <w:basedOn w:val="DefaultParagraphFont"/>
    <w:uiPriority w:val="99"/>
    <w:unhideWhenUsed/>
    <w:rsid w:val="002C2B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3921</Characters>
  <Application>Microsoft Office Word</Application>
  <DocSecurity>0</DocSecurity>
  <Lines>178</Lines>
  <Paragraphs>91</Paragraphs>
  <ScaleCrop>false</ScaleCrop>
  <Company>Author-it Software Corporation Ltd.</Company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TLIB0010 Provide first-level rail rolling stock technical support remotely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2024-07-12T07:49:00Z</dcterms:modified>
</cp:coreProperties>
</file>