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063" w:rsidP="006000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TLIB0005 Operate pooled equipment</w:t>
      </w:r>
      <w:r>
        <w:fldChar w:fldCharType="end"/>
      </w:r>
    </w:p>
    <w:p w:rsidR="00600063" w:rsidP="00600063">
      <w:pPr>
        <w:pStyle w:val="Version"/>
        <w:sectPr w:rsidSect="00AB0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10A" w:rsidP="00AB010A">
      <w:pPr>
        <w:pStyle w:val="SuperHeading"/>
      </w:pPr>
      <w:r w:rsidRPr="00AB010A">
        <w:t>TLIB0005 Operate pooled equipment</w:t>
      </w:r>
    </w:p>
    <w:p w:rsidR="00000000" w:rsidRPr="00AB010A" w:rsidP="00AB010A">
      <w:pPr>
        <w:pStyle w:val="Heading1"/>
      </w:pPr>
      <w:bookmarkStart w:id="1" w:name="O_1066006"/>
      <w:bookmarkEnd w:id="1"/>
      <w:r w:rsidRPr="00AB01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rPr>
                <w:rStyle w:val="SpecialBold"/>
              </w:rPr>
              <w:t xml:space="preserve">Release 1. </w:t>
            </w:r>
            <w:r w:rsidRPr="00AB010A">
              <w:t xml:space="preserve">This is the first release of this unit of competency in the TLI Transport and Logistics Training Package. </w:t>
            </w:r>
          </w:p>
        </w:tc>
      </w:tr>
    </w:tbl>
    <w:p w:rsidR="00000000" w:rsidRPr="00AB010A" w:rsidP="00AB010A">
      <w:pPr>
        <w:pStyle w:val="NoPaddingFontSize1"/>
      </w:pPr>
    </w:p>
    <w:p w:rsidR="00000000" w:rsidRPr="00AB010A" w:rsidP="00AB010A">
      <w:pPr>
        <w:pStyle w:val="AllowPageBreak"/>
      </w:pPr>
    </w:p>
    <w:p w:rsidR="00000000" w:rsidRPr="00AB010A" w:rsidP="00AB010A">
      <w:pPr>
        <w:pStyle w:val="Heading1"/>
      </w:pPr>
      <w:bookmarkStart w:id="2" w:name="O_1066007"/>
      <w:bookmarkEnd w:id="2"/>
      <w:r w:rsidRPr="00AB01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t>This unit involves the skills and knowledge required to operate and stocktake pooled</w:t>
            </w:r>
            <w:r w:rsidRPr="00AB010A">
              <w:t xml:space="preserve"> equipment.</w:t>
            </w:r>
          </w:p>
          <w:p w:rsidR="00000000" w:rsidRPr="00AB010A" w:rsidP="00AB010A">
            <w:pPr>
              <w:pStyle w:val="BodyText"/>
            </w:pPr>
            <w:r w:rsidRPr="00AB010A">
              <w:t>It includes applying pooled equipment workplace procedures when receiving, dispatching, issuing and dehiring pooled equipment. It also includes undertaking pooled equipment stocktake and completing pooled equipment records and data entry.</w:t>
            </w:r>
          </w:p>
          <w:p w:rsidR="00000000" w:rsidRPr="00AB010A" w:rsidP="00AB010A">
            <w:pPr>
              <w:pStyle w:val="BodyText"/>
            </w:pPr>
            <w:r w:rsidRPr="00AB010A">
              <w:t xml:space="preserve">Work </w:t>
            </w:r>
            <w:r w:rsidRPr="00AB010A">
              <w:t>is performed under supervision generally within a team environment.</w:t>
            </w:r>
          </w:p>
          <w:p w:rsidR="00000000" w:rsidRPr="00AB010A" w:rsidP="00AB010A">
            <w:pPr>
              <w:pStyle w:val="BodyText"/>
            </w:pPr>
            <w:r w:rsidRPr="00AB010A">
              <w:t>No licensing, legislative or certification requirements apply to this unit at the time of publication.</w:t>
            </w:r>
          </w:p>
        </w:tc>
      </w:tr>
    </w:tbl>
    <w:p w:rsidR="00000000" w:rsidRPr="00AB010A" w:rsidP="00AB010A">
      <w:pPr>
        <w:pStyle w:val="NoPaddingFontSize1"/>
      </w:pPr>
    </w:p>
    <w:p w:rsidR="00000000" w:rsidRPr="00AB010A" w:rsidP="00AB010A">
      <w:pPr>
        <w:pStyle w:val="AllowPageBreak"/>
      </w:pPr>
    </w:p>
    <w:p w:rsidR="00000000" w:rsidRPr="00AB010A" w:rsidP="00AB010A">
      <w:pPr>
        <w:pStyle w:val="Heading1"/>
      </w:pPr>
      <w:bookmarkStart w:id="3" w:name="O_1066008"/>
      <w:bookmarkEnd w:id="3"/>
      <w:r w:rsidRPr="00AB010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t>Not applicable.</w:t>
            </w:r>
          </w:p>
        </w:tc>
      </w:tr>
    </w:tbl>
    <w:p w:rsidR="00000000" w:rsidRPr="00AB010A" w:rsidP="00AB010A">
      <w:pPr>
        <w:pStyle w:val="NoPaddingFontSize1"/>
      </w:pPr>
    </w:p>
    <w:p w:rsidR="00000000" w:rsidRPr="00AB010A" w:rsidP="00AB010A">
      <w:pPr>
        <w:pStyle w:val="AllowPageBreak"/>
      </w:pPr>
    </w:p>
    <w:p w:rsidR="00000000" w:rsidRPr="00AB010A" w:rsidP="00AB010A">
      <w:pPr>
        <w:pStyle w:val="Heading1"/>
      </w:pPr>
      <w:bookmarkStart w:id="4" w:name="O_1066009"/>
      <w:bookmarkEnd w:id="4"/>
      <w:r w:rsidRPr="00AB010A">
        <w:t>Competen</w:t>
      </w:r>
      <w:r w:rsidRPr="00AB010A">
        <w:t>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t>B ‒ Equipment Checking and Maintenance</w:t>
            </w:r>
          </w:p>
        </w:tc>
      </w:tr>
    </w:tbl>
    <w:p w:rsidR="00000000" w:rsidRPr="00AB010A" w:rsidP="00AB010A">
      <w:pPr>
        <w:pStyle w:val="NoPaddingFontSize1"/>
      </w:pPr>
    </w:p>
    <w:p w:rsidR="00000000" w:rsidRPr="00AB010A" w:rsidP="00AB010A">
      <w:pPr>
        <w:pStyle w:val="AllowPageBreak"/>
      </w:pPr>
    </w:p>
    <w:p w:rsidR="00000000" w:rsidRPr="00AB010A" w:rsidP="00AB010A">
      <w:pPr>
        <w:pStyle w:val="Heading1"/>
      </w:pPr>
      <w:bookmarkStart w:id="5" w:name="O_1066010"/>
      <w:bookmarkEnd w:id="5"/>
      <w:r w:rsidRPr="00AB010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t>Supply chain sector</w:t>
            </w:r>
          </w:p>
        </w:tc>
      </w:tr>
    </w:tbl>
    <w:p w:rsidR="00000000" w:rsidRPr="00AB010A" w:rsidP="00AB010A">
      <w:pPr>
        <w:pStyle w:val="NoPaddingFontSize1"/>
      </w:pPr>
    </w:p>
    <w:p w:rsidR="00000000" w:rsidRPr="00AB010A" w:rsidP="00AB010A">
      <w:pPr>
        <w:pStyle w:val="AllowPageBreak"/>
      </w:pPr>
    </w:p>
    <w:p w:rsidR="00000000" w:rsidRPr="00AB010A" w:rsidP="00AB010A">
      <w:pPr>
        <w:pStyle w:val="Heading1"/>
      </w:pPr>
      <w:bookmarkStart w:id="6" w:name="O_1066011"/>
      <w:bookmarkEnd w:id="6"/>
      <w:r w:rsidRPr="00AB010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rPr>
                <w:rStyle w:val="SpecialBold"/>
              </w:rPr>
              <w:t>PERFORMANCE CRITERIA</w:t>
            </w:r>
          </w:p>
        </w:tc>
      </w:tr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t>Performance criteria describe the performance needed to demonstrate achievement of the element.</w:t>
            </w:r>
          </w:p>
        </w:tc>
      </w:tr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rPr>
                <w:rStyle w:val="SpecialBold"/>
              </w:rPr>
              <w:t>Apply pooled equipment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t>Pooled equipment is identified and operation planned in accordance with workplace procedures</w:t>
            </w:r>
          </w:p>
        </w:tc>
      </w:tr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t>Hazards are identified, risks assessed and control measures implemented</w:t>
            </w:r>
          </w:p>
        </w:tc>
      </w:tr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t>Movement of pooled equipment is undertaken in accordance with safe work practices</w:t>
            </w:r>
          </w:p>
        </w:tc>
      </w:tr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t>Transport activities are undertaken safely in accordance with workplace procedures</w:t>
            </w:r>
          </w:p>
        </w:tc>
      </w:tr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rPr>
                <w:rStyle w:val="SpecialBold"/>
              </w:rPr>
              <w:t>Re</w:t>
            </w:r>
            <w:r w:rsidRPr="00AB010A">
              <w:rPr>
                <w:rStyle w:val="SpecialBold"/>
              </w:rPr>
              <w:t>ceive, dispatch, issue and dehire pooled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t>Receival, despatch, issue and dehire pooled equipment, including exchange on and exchange off are undertaken in accordance with workplace procedures</w:t>
            </w:r>
          </w:p>
        </w:tc>
      </w:tr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t>Pooled equipment documentation is checked for</w:t>
            </w:r>
            <w:r w:rsidRPr="00AB010A">
              <w:t xml:space="preserve"> quantity, type, date, receiver and order reference accuracy and any discrepancies reported as a non-conformance in accordance with workplace procedures</w:t>
            </w:r>
          </w:p>
        </w:tc>
      </w:tr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t>Effective communication is undertaken with relevant persons</w:t>
            </w:r>
          </w:p>
        </w:tc>
      </w:tr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rPr>
                <w:rStyle w:val="SpecialBold"/>
              </w:rPr>
              <w:t>Undertake pooled equipment stocktake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t>Pooled equipment stocktake or cyclical counts are undertaken in accordance with workplace policies and procedures</w:t>
            </w:r>
          </w:p>
        </w:tc>
      </w:tr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t>Pooled equipment inventory data is interpreted</w:t>
            </w:r>
          </w:p>
        </w:tc>
      </w:tr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t>Pooled equipment stock levels are accurately counted and documented</w:t>
            </w:r>
          </w:p>
        </w:tc>
      </w:tr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rPr>
                <w:rStyle w:val="SpecialBold"/>
              </w:rPr>
              <w:t>Complete pooled equipment records and data entry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t>Pooled equipment records are updated in accordance with workplace procedures</w:t>
            </w:r>
          </w:p>
        </w:tc>
      </w:tr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10A">
            <w:pPr>
              <w:pStyle w:val="BodyText"/>
              <w:rPr>
                <w:lang w:val="en-NZ"/>
              </w:rPr>
            </w:pPr>
            <w:r w:rsidRPr="00AB010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t>Document flow is maintained to ensure accuracy</w:t>
            </w:r>
          </w:p>
        </w:tc>
      </w:tr>
    </w:tbl>
    <w:p w:rsidR="00000000" w:rsidRPr="00AB010A" w:rsidP="00AB010A">
      <w:pPr>
        <w:pStyle w:val="NoPaddingFontSize1"/>
      </w:pPr>
    </w:p>
    <w:p w:rsidR="00000000" w:rsidRPr="00AB010A" w:rsidP="00AB010A">
      <w:pPr>
        <w:pStyle w:val="AllowPageBreak"/>
      </w:pPr>
    </w:p>
    <w:p w:rsidR="00000000" w:rsidRPr="00AB010A" w:rsidP="00AB010A">
      <w:pPr>
        <w:pStyle w:val="Heading1"/>
      </w:pPr>
      <w:bookmarkStart w:id="7" w:name="O_1066012"/>
      <w:bookmarkEnd w:id="7"/>
      <w:r w:rsidRPr="00AB01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t>Foundation skills essential to performance are explicit in the performance criteria of this unit of competency.</w:t>
            </w:r>
          </w:p>
        </w:tc>
      </w:tr>
    </w:tbl>
    <w:p w:rsidR="00000000" w:rsidRPr="00AB010A" w:rsidP="00AB010A">
      <w:pPr>
        <w:pStyle w:val="NoPaddingFontSize1"/>
      </w:pPr>
    </w:p>
    <w:p w:rsidR="00000000" w:rsidRPr="00AB010A" w:rsidP="00AB010A">
      <w:pPr>
        <w:pStyle w:val="AllowPageBreak"/>
      </w:pPr>
    </w:p>
    <w:p w:rsidR="00000000" w:rsidRPr="00AB010A" w:rsidP="00AB010A">
      <w:pPr>
        <w:pStyle w:val="Heading1"/>
      </w:pPr>
      <w:bookmarkStart w:id="8" w:name="O_1066013"/>
      <w:bookmarkEnd w:id="8"/>
      <w:r w:rsidRPr="00AB01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t>Range is restricted to essential operating conditions and any oth</w:t>
            </w:r>
            <w:r w:rsidRPr="00AB010A">
              <w:t>er variables essential to the work environment.</w:t>
            </w:r>
          </w:p>
        </w:tc>
      </w:tr>
    </w:tbl>
    <w:p w:rsidR="00000000" w:rsidRPr="00AB010A" w:rsidP="00AB010A">
      <w:pPr>
        <w:pStyle w:val="NoPaddingFontSize1"/>
      </w:pPr>
    </w:p>
    <w:p w:rsidR="00000000" w:rsidRPr="00AB010A" w:rsidP="00AB010A">
      <w:pPr>
        <w:pStyle w:val="AllowPageBreak"/>
      </w:pPr>
    </w:p>
    <w:p w:rsidR="00000000" w:rsidRPr="00AB010A" w:rsidP="00AB010A">
      <w:pPr>
        <w:pStyle w:val="Heading1"/>
      </w:pPr>
      <w:bookmarkStart w:id="9" w:name="O_1066014"/>
      <w:bookmarkEnd w:id="9"/>
      <w:r w:rsidRPr="00AB01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01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10A" w:rsidP="00AB010A">
            <w:pPr>
              <w:pStyle w:val="BodyText"/>
            </w:pPr>
            <w:r w:rsidRPr="00AB010A">
              <w:t>This is a new unit. No equivalent unit.</w:t>
            </w:r>
          </w:p>
        </w:tc>
      </w:tr>
    </w:tbl>
    <w:p w:rsidR="00000000" w:rsidRPr="00AB010A" w:rsidP="00AB010A">
      <w:pPr>
        <w:pStyle w:val="NoPaddingFontSize1"/>
      </w:pPr>
    </w:p>
    <w:p w:rsidR="00000000" w:rsidRPr="00AB010A" w:rsidP="00AB010A">
      <w:pPr>
        <w:pStyle w:val="AllowPageBreak"/>
      </w:pPr>
    </w:p>
    <w:p w:rsidR="00000000" w:rsidRPr="00AB010A" w:rsidP="00AB010A">
      <w:pPr>
        <w:pStyle w:val="Heading1"/>
      </w:pPr>
      <w:bookmarkStart w:id="10" w:name="O_1066021"/>
      <w:bookmarkEnd w:id="10"/>
      <w:r w:rsidRPr="00AB010A">
        <w:t>Links</w:t>
      </w:r>
    </w:p>
    <w:p w:rsidR="00000000" w:rsidRPr="00AB010A" w:rsidP="00600063">
      <w:pPr>
        <w:pStyle w:val="BodyText"/>
      </w:pPr>
      <w:r w:rsidRPr="00AB010A">
        <w:t>Companion Vo</w:t>
      </w:r>
      <w:r w:rsidRPr="00AB010A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D19B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B010A" w:rsidP="00AB010A"/>
    <w:sectPr w:rsidSect="00AB01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0A" w:rsidRPr="00600063" w:rsidP="006000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63" w:rsidP="00AB0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063" w:rsidP="00AB0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00063" w:rsidP="00AB0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10A" w:rsidRPr="00600063" w:rsidP="006000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063" w:rsidRPr="002D2AF8" w:rsidP="00AB0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TLIB0005 Operate pooled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00063" w:rsidP="00AB0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10A"/>
  </w:style>
  <w:style w:type="character" w:customStyle="1" w:styleId="Heading1Char">
    <w:name w:val="Heading 1 Char"/>
    <w:basedOn w:val="DefaultParagraphFont"/>
    <w:link w:val="Heading1"/>
    <w:rsid w:val="00AB0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1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1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010A"/>
    <w:rPr>
      <w:b/>
      <w:spacing w:val="0"/>
    </w:rPr>
  </w:style>
  <w:style w:type="paragraph" w:customStyle="1" w:styleId="SuperHeading">
    <w:name w:val="SuperHeading"/>
    <w:basedOn w:val="Normal"/>
    <w:rsid w:val="00AB0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0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1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1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01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0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1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1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010A"/>
    <w:rPr>
      <w:i/>
    </w:rPr>
  </w:style>
  <w:style w:type="paragraph" w:styleId="Caption">
    <w:name w:val="caption"/>
    <w:basedOn w:val="BodyText"/>
    <w:next w:val="Normal"/>
    <w:qFormat/>
    <w:rsid w:val="00AB0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1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10A"/>
  </w:style>
  <w:style w:type="paragraph" w:styleId="TableofFigures">
    <w:name w:val="table of figures"/>
    <w:basedOn w:val="Normal"/>
    <w:next w:val="Normal"/>
    <w:semiHidden/>
    <w:rsid w:val="00AB0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1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010A"/>
    <w:rPr>
      <w:rFonts w:ascii="Wingdings" w:hAnsi="Wingdings"/>
    </w:rPr>
  </w:style>
  <w:style w:type="paragraph" w:customStyle="1" w:styleId="TableHeading">
    <w:name w:val="Table Heading"/>
    <w:basedOn w:val="HeadingBase"/>
    <w:rsid w:val="00AB0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10A"/>
    <w:rPr>
      <w:color w:val="0033CC"/>
      <w:u w:val="none"/>
    </w:rPr>
  </w:style>
  <w:style w:type="paragraph" w:customStyle="1" w:styleId="BodyTextRight">
    <w:name w:val="Body Text Right"/>
    <w:basedOn w:val="BodyText"/>
    <w:rsid w:val="00AB0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1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10A"/>
    <w:rPr>
      <w:sz w:val="32"/>
    </w:rPr>
  </w:style>
  <w:style w:type="paragraph" w:customStyle="1" w:styleId="HeadingProcedure">
    <w:name w:val="Heading Procedure"/>
    <w:basedOn w:val="HeadingBase"/>
    <w:next w:val="Normal"/>
    <w:rsid w:val="00AB0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10A"/>
    <w:pPr>
      <w:spacing w:before="60" w:after="60"/>
    </w:pPr>
  </w:style>
  <w:style w:type="paragraph" w:styleId="ListContinue">
    <w:name w:val="List Continue"/>
    <w:basedOn w:val="List"/>
    <w:rsid w:val="00AB010A"/>
    <w:pPr>
      <w:ind w:firstLine="0"/>
    </w:pPr>
  </w:style>
  <w:style w:type="paragraph" w:customStyle="1" w:styleId="ListNote">
    <w:name w:val="List Note"/>
    <w:basedOn w:val="List"/>
    <w:rsid w:val="00AB0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10A"/>
    <w:rPr>
      <w:rFonts w:ascii="Courier New" w:hAnsi="Courier New"/>
    </w:rPr>
  </w:style>
  <w:style w:type="paragraph" w:customStyle="1" w:styleId="NoteBullet">
    <w:name w:val="Note Bullet"/>
    <w:basedOn w:val="Note"/>
    <w:rsid w:val="00AB0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1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0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10A"/>
    <w:rPr>
      <w:b/>
      <w:smallCaps/>
    </w:rPr>
  </w:style>
  <w:style w:type="paragraph" w:customStyle="1" w:styleId="TableListNumber">
    <w:name w:val="Table List Number"/>
    <w:basedOn w:val="ListNumber"/>
    <w:rsid w:val="00AB0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10A"/>
    <w:pPr>
      <w:numPr>
        <w:numId w:val="7"/>
      </w:numPr>
    </w:pPr>
  </w:style>
  <w:style w:type="paragraph" w:customStyle="1" w:styleId="ListAlpha2">
    <w:name w:val="List Alpha 2"/>
    <w:basedOn w:val="List2"/>
    <w:rsid w:val="00AB010A"/>
    <w:pPr>
      <w:numPr>
        <w:numId w:val="6"/>
      </w:numPr>
    </w:pPr>
  </w:style>
  <w:style w:type="paragraph" w:styleId="List2">
    <w:name w:val="List 2"/>
    <w:basedOn w:val="BodyText"/>
    <w:rsid w:val="00AB01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1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1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1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010A"/>
    <w:pPr>
      <w:numPr>
        <w:numId w:val="2"/>
      </w:numPr>
    </w:pPr>
  </w:style>
  <w:style w:type="paragraph" w:styleId="ListContinue2">
    <w:name w:val="List Continue 2"/>
    <w:basedOn w:val="List2"/>
    <w:rsid w:val="00AB010A"/>
    <w:pPr>
      <w:ind w:firstLine="0"/>
    </w:pPr>
  </w:style>
  <w:style w:type="paragraph" w:styleId="ListContinue3">
    <w:name w:val="List Continue 3"/>
    <w:basedOn w:val="List3"/>
    <w:rsid w:val="00AB010A"/>
    <w:pPr>
      <w:ind w:left="1021" w:firstLine="0"/>
    </w:pPr>
  </w:style>
  <w:style w:type="paragraph" w:styleId="ListContinue4">
    <w:name w:val="List Continue 4"/>
    <w:basedOn w:val="List4"/>
    <w:rsid w:val="00AB010A"/>
    <w:pPr>
      <w:ind w:firstLine="0"/>
    </w:pPr>
  </w:style>
  <w:style w:type="paragraph" w:styleId="ListContinue5">
    <w:name w:val="List Continue 5"/>
    <w:basedOn w:val="List5"/>
    <w:rsid w:val="00AB010A"/>
    <w:pPr>
      <w:ind w:firstLine="0"/>
    </w:pPr>
  </w:style>
  <w:style w:type="paragraph" w:styleId="ListNumber3">
    <w:name w:val="List Number 3"/>
    <w:basedOn w:val="List3"/>
    <w:rsid w:val="00AB010A"/>
    <w:pPr>
      <w:numPr>
        <w:numId w:val="3"/>
      </w:numPr>
    </w:pPr>
  </w:style>
  <w:style w:type="paragraph" w:styleId="ListNumber4">
    <w:name w:val="List Number 4"/>
    <w:basedOn w:val="List4"/>
    <w:rsid w:val="00AB010A"/>
    <w:pPr>
      <w:numPr>
        <w:numId w:val="4"/>
      </w:numPr>
    </w:pPr>
  </w:style>
  <w:style w:type="paragraph" w:styleId="ListNumber5">
    <w:name w:val="List Number 5"/>
    <w:basedOn w:val="List5"/>
    <w:rsid w:val="00AB010A"/>
    <w:pPr>
      <w:numPr>
        <w:numId w:val="5"/>
      </w:numPr>
    </w:pPr>
  </w:style>
  <w:style w:type="paragraph" w:styleId="BlockText">
    <w:name w:val="Block Text"/>
    <w:basedOn w:val="Normal"/>
    <w:rsid w:val="00AB0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10A"/>
    <w:rPr>
      <w:sz w:val="16"/>
      <w:vertAlign w:val="superscript"/>
    </w:rPr>
  </w:style>
  <w:style w:type="character" w:customStyle="1" w:styleId="Symbols">
    <w:name w:val="Symbols"/>
    <w:basedOn w:val="DefaultParagraphFont"/>
    <w:rsid w:val="00AB010A"/>
    <w:rPr>
      <w:rFonts w:ascii="Symbol" w:hAnsi="Symbol"/>
    </w:rPr>
  </w:style>
  <w:style w:type="character" w:customStyle="1" w:styleId="MenuOptions">
    <w:name w:val="Menu Options"/>
    <w:basedOn w:val="DefaultParagraphFont"/>
    <w:rsid w:val="00AB0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10A"/>
    <w:rPr>
      <w:b/>
    </w:rPr>
  </w:style>
  <w:style w:type="character" w:customStyle="1" w:styleId="Underlined">
    <w:name w:val="Underlined"/>
    <w:basedOn w:val="DefaultParagraphFont"/>
    <w:rsid w:val="00AB010A"/>
    <w:rPr>
      <w:u w:val="single"/>
    </w:rPr>
  </w:style>
  <w:style w:type="paragraph" w:customStyle="1" w:styleId="TableBodyTextRight">
    <w:name w:val="Table Body Text Right"/>
    <w:basedOn w:val="TableBodyText"/>
    <w:rsid w:val="00AB0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10A"/>
    <w:rPr>
      <w:sz w:val="18"/>
    </w:rPr>
  </w:style>
  <w:style w:type="paragraph" w:customStyle="1" w:styleId="BodySmallRight">
    <w:name w:val="Body Small Right"/>
    <w:basedOn w:val="BodyTextRight"/>
    <w:rsid w:val="00AB010A"/>
    <w:rPr>
      <w:sz w:val="18"/>
      <w:szCs w:val="18"/>
    </w:rPr>
  </w:style>
  <w:style w:type="paragraph" w:customStyle="1" w:styleId="MarginEdition">
    <w:name w:val="Margin Edition"/>
    <w:basedOn w:val="MarginNote"/>
    <w:rsid w:val="00AB0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10A"/>
    <w:rPr>
      <w:sz w:val="2"/>
      <w:szCs w:val="2"/>
    </w:rPr>
  </w:style>
  <w:style w:type="character" w:customStyle="1" w:styleId="Small">
    <w:name w:val="Small"/>
    <w:basedOn w:val="DefaultParagraphFont"/>
    <w:rsid w:val="00AB010A"/>
    <w:rPr>
      <w:sz w:val="16"/>
    </w:rPr>
  </w:style>
  <w:style w:type="paragraph" w:customStyle="1" w:styleId="WideTable">
    <w:name w:val="Wide Table"/>
    <w:basedOn w:val="Normal"/>
    <w:rsid w:val="00AB0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10A"/>
  </w:style>
  <w:style w:type="paragraph" w:styleId="Quote">
    <w:name w:val="Quote"/>
    <w:basedOn w:val="Heading1"/>
    <w:link w:val="QuoteChar"/>
    <w:qFormat/>
    <w:rsid w:val="00AB0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10A"/>
    <w:pPr>
      <w:pageBreakBefore/>
    </w:pPr>
  </w:style>
  <w:style w:type="paragraph" w:customStyle="1" w:styleId="Border">
    <w:name w:val="Border"/>
    <w:basedOn w:val="Normal"/>
    <w:qFormat/>
    <w:rsid w:val="00AB0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10A"/>
    <w:rPr>
      <w:u w:val="single"/>
    </w:rPr>
  </w:style>
  <w:style w:type="character" w:customStyle="1" w:styleId="BoldandItalics">
    <w:name w:val="Bold and Italics"/>
    <w:qFormat/>
    <w:rsid w:val="00AB010A"/>
    <w:rPr>
      <w:b/>
      <w:i/>
      <w:u w:val="none"/>
    </w:rPr>
  </w:style>
  <w:style w:type="paragraph" w:styleId="BalloonText">
    <w:name w:val="Balloon Text"/>
    <w:basedOn w:val="Normal"/>
    <w:link w:val="BalloonTextChar"/>
    <w:rsid w:val="00AB0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1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1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10A"/>
    <w:pPr>
      <w:spacing w:before="0" w:after="0"/>
    </w:pPr>
  </w:style>
  <w:style w:type="paragraph" w:customStyle="1" w:styleId="BodyTextBold">
    <w:name w:val="Body Text Bold"/>
    <w:basedOn w:val="BodyText"/>
    <w:qFormat/>
    <w:rsid w:val="00AB010A"/>
    <w:rPr>
      <w:b/>
    </w:rPr>
  </w:style>
  <w:style w:type="character" w:styleId="Hyperlink">
    <w:name w:val="Hyperlink"/>
    <w:basedOn w:val="DefaultParagraphFont"/>
    <w:uiPriority w:val="99"/>
    <w:unhideWhenUsed/>
    <w:rsid w:val="00600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414</Words>
  <Characters>2689</Characters>
  <Application>Microsoft Office Word</Application>
  <DocSecurity>0</DocSecurity>
  <Lines>141</Lines>
  <Paragraphs>75</Paragraphs>
  <ScaleCrop>false</ScaleCrop>
  <Company>Author-it Software Corporation Ltd.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TLIB0005 Operate pooled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