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572" w:rsidP="008D0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TLIA5035 Manage international freight transfer</w:t>
      </w:r>
      <w:r>
        <w:fldChar w:fldCharType="end"/>
      </w:r>
    </w:p>
    <w:p w:rsidR="008D0572" w:rsidP="008D0572">
      <w:pPr>
        <w:pStyle w:val="Version"/>
        <w:sectPr w:rsidSect="005F0E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0EBF" w:rsidP="005F0EBF">
      <w:pPr>
        <w:pStyle w:val="SuperHeading"/>
      </w:pPr>
      <w:r w:rsidRPr="005F0EBF">
        <w:t>TLIA5035 Manage international freight transfer</w:t>
      </w:r>
    </w:p>
    <w:p w:rsidR="00000000" w:rsidRPr="005F0EBF" w:rsidP="005F0EBF">
      <w:pPr>
        <w:pStyle w:val="Heading1"/>
      </w:pPr>
      <w:bookmarkStart w:id="1" w:name="O_1232504"/>
      <w:bookmarkEnd w:id="1"/>
      <w:r w:rsidRPr="005F0E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 w:rsidP="005F0EBF">
            <w:pPr>
              <w:pStyle w:val="BodyText"/>
            </w:pPr>
            <w:r w:rsidRPr="005F0EBF">
              <w:rPr>
                <w:rStyle w:val="SpecialBold"/>
              </w:rPr>
              <w:t>Release 2</w:t>
            </w:r>
            <w:r w:rsidRPr="005F0EBF">
              <w:t>. This is the second release of this unit of competency in the TLI Transport and Logistics Training Package.</w:t>
            </w:r>
          </w:p>
          <w:p w:rsidR="00000000" w:rsidRPr="005F0EBF" w:rsidP="005F0EBF">
            <w:pPr>
              <w:pStyle w:val="ListBullet"/>
            </w:pPr>
            <w:r w:rsidRPr="005F0EBF">
              <w:t>Minor statement changes in Performance Criteria</w:t>
            </w:r>
          </w:p>
          <w:p w:rsidR="00000000" w:rsidRPr="005F0EBF" w:rsidP="005F0EBF">
            <w:pPr>
              <w:pStyle w:val="ListBullet"/>
            </w:pPr>
            <w:r w:rsidRPr="005F0EBF">
              <w:t>Minor statement changes in Performance Evidence</w:t>
            </w:r>
          </w:p>
          <w:p w:rsidR="00000000" w:rsidRPr="005F0EBF" w:rsidP="005F0EBF">
            <w:pPr>
              <w:pStyle w:val="ListBullet"/>
            </w:pPr>
            <w:r w:rsidRPr="005F0EBF">
              <w:t>Minor state</w:t>
            </w:r>
            <w:r w:rsidRPr="005F0EBF">
              <w:t>ment changes in Knowledge Evidence</w:t>
            </w:r>
          </w:p>
          <w:p w:rsidR="00000000" w:rsidP="005F0EBF">
            <w:pPr>
              <w:pStyle w:val="ListBullet"/>
              <w:rPr>
                <w:lang w:val="en-NZ"/>
              </w:rPr>
            </w:pPr>
            <w:r w:rsidRPr="005F0EBF">
              <w:t>Minor statement changes in Assessment Conditions.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 w:rsidP="005F0EBF">
            <w:pPr>
              <w:pStyle w:val="BodyText"/>
            </w:pPr>
            <w:r w:rsidRPr="005F0EBF">
              <w:rPr>
                <w:rStyle w:val="SpecialBold"/>
              </w:rPr>
              <w:t>Release 1</w:t>
            </w:r>
            <w:r w:rsidRPr="005F0EBF">
              <w:t>. This is the first release of this unit of competency in the TLI Transport and Logistics Training Package.</w:t>
            </w:r>
          </w:p>
        </w:tc>
      </w:tr>
    </w:tbl>
    <w:p w:rsidR="008D0572" w:rsidP="005F0EBF">
      <w:pPr>
        <w:pStyle w:val="NoPaddingFontSize1"/>
      </w:pPr>
    </w:p>
    <w:p w:rsidR="008D0572" w:rsidP="005F0EBF">
      <w:pPr>
        <w:pStyle w:val="NoPaddingFontSize1"/>
      </w:pPr>
    </w:p>
    <w:p w:rsidR="00000000" w:rsidRPr="005F0EBF" w:rsidP="005F0EBF">
      <w:pPr>
        <w:pStyle w:val="Heading1"/>
      </w:pPr>
      <w:bookmarkStart w:id="2" w:name="O_1232503"/>
      <w:bookmarkEnd w:id="2"/>
      <w:r w:rsidRPr="005F0E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 w:rsidP="005F0EBF">
            <w:pPr>
              <w:pStyle w:val="BodyText"/>
            </w:pPr>
            <w:r w:rsidRPr="005F0EBF">
              <w:t xml:space="preserve">This unit involves </w:t>
            </w:r>
            <w:r w:rsidRPr="005F0EBF">
              <w:t>the skills and knowledge required to plan and manage international freight transfer according to relevant regulatory requirements and workplace procedures, including dangerous goods systems and dangerous goods regulation requirements.</w:t>
            </w:r>
          </w:p>
          <w:p w:rsidR="00000000" w:rsidRPr="005F0EBF" w:rsidP="005F0EBF">
            <w:pPr>
              <w:pStyle w:val="BodyText"/>
            </w:pPr>
            <w:r w:rsidRPr="005F0EBF">
              <w:t>It includes analysing freight transfer requirements, planning and establishing processes, monitoring and coordinating systems and processes for international freight transfer and completing all required documentation.</w:t>
            </w:r>
          </w:p>
          <w:p w:rsidR="00000000" w:rsidRPr="005F0EBF" w:rsidP="005F0EBF">
            <w:pPr>
              <w:pStyle w:val="BodyText"/>
            </w:pPr>
            <w:r w:rsidRPr="005F0EBF">
              <w:t>Work is carried out under general guid</w:t>
            </w:r>
            <w:r w:rsidRPr="005F0EBF">
              <w:t>ance. It requires discretion and judgement for self and others in planning and using resources, services and processes to achieve required outcomes.</w:t>
            </w:r>
          </w:p>
          <w:p w:rsidR="00000000" w:rsidRPr="005F0EBF" w:rsidP="005F0EBF">
            <w:pPr>
              <w:pStyle w:val="BodyText"/>
            </w:pPr>
            <w:r w:rsidRPr="005F0EBF">
              <w:t xml:space="preserve">The unit generally applies to those with responsibility for resource coordination and allocation, who lead </w:t>
            </w:r>
            <w:r w:rsidRPr="005F0EBF">
              <w:t>individuals or teams.</w:t>
            </w:r>
          </w:p>
          <w:p w:rsidR="00000000" w:rsidRPr="005F0EBF" w:rsidP="005F0EBF">
            <w:pPr>
              <w:pStyle w:val="BodyText"/>
            </w:pPr>
            <w:r w:rsidRPr="005F0EBF">
              <w:t>No licensing, legislative or certification requirements apply to this unit at the time of publication.</w:t>
            </w:r>
          </w:p>
        </w:tc>
      </w:tr>
    </w:tbl>
    <w:p w:rsidR="008D0572" w:rsidP="005F0EBF">
      <w:pPr>
        <w:pStyle w:val="NoPaddingFontSize1"/>
      </w:pPr>
    </w:p>
    <w:p w:rsidR="008D0572" w:rsidP="005F0EBF">
      <w:pPr>
        <w:pStyle w:val="NoPaddingFontSize1"/>
      </w:pPr>
    </w:p>
    <w:p w:rsidR="00000000" w:rsidRPr="005F0EBF" w:rsidP="005F0EBF">
      <w:pPr>
        <w:pStyle w:val="Heading1"/>
      </w:pPr>
      <w:bookmarkStart w:id="3" w:name="O_1232502"/>
      <w:bookmarkEnd w:id="3"/>
      <w:r w:rsidRPr="005F0EBF">
        <w:t>Pre-requisite Unit</w:t>
      </w:r>
    </w:p>
    <w:p w:rsidR="00000000" w:rsidRPr="005F0EBF" w:rsidP="008D0572">
      <w:pPr>
        <w:pStyle w:val="BodyText"/>
      </w:pPr>
      <w:r w:rsidRPr="005F0EBF">
        <w:t>Not applicable.</w:t>
      </w:r>
    </w:p>
    <w:p w:rsidR="00000000" w:rsidRPr="005F0EBF" w:rsidP="005F0EBF">
      <w:pPr>
        <w:pStyle w:val="Heading1"/>
      </w:pPr>
      <w:bookmarkStart w:id="4" w:name="O_1232501"/>
      <w:bookmarkEnd w:id="4"/>
      <w:r w:rsidRPr="005F0EBF">
        <w:t>Competency Field</w:t>
      </w:r>
    </w:p>
    <w:p w:rsidR="008D0572" w:rsidP="008D0572">
      <w:pPr>
        <w:pStyle w:val="BodyText"/>
      </w:pPr>
      <w:r w:rsidRPr="005F0EBF">
        <w:t>A ‒ Handling Cargo/Stock</w:t>
      </w:r>
    </w:p>
    <w:p w:rsidR="00000000" w:rsidRPr="005F0EBF" w:rsidP="005F0EBF">
      <w:pPr>
        <w:pStyle w:val="Heading1"/>
      </w:pPr>
      <w:bookmarkStart w:id="5" w:name="O_1232500"/>
      <w:bookmarkEnd w:id="5"/>
      <w:r w:rsidRPr="005F0EBF">
        <w:t>Unit Sector</w:t>
      </w:r>
    </w:p>
    <w:p w:rsidR="00000000" w:rsidRPr="005F0EBF" w:rsidP="008D0572">
      <w:pPr>
        <w:pStyle w:val="BodyText"/>
      </w:pPr>
      <w:r w:rsidRPr="005F0EBF">
        <w:t>Not applicable.</w:t>
      </w:r>
    </w:p>
    <w:p w:rsidR="00000000" w:rsidRPr="005F0EBF" w:rsidP="005F0EBF">
      <w:pPr>
        <w:pStyle w:val="Heading1"/>
      </w:pPr>
      <w:bookmarkStart w:id="6" w:name="O_1232499"/>
      <w:bookmarkEnd w:id="6"/>
      <w:r w:rsidRPr="005F0EB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4"/>
        <w:gridCol w:w="2310"/>
        <w:gridCol w:w="721"/>
        <w:gridCol w:w="6062"/>
      </w:tblGrid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 w:rsidP="005F0EBF">
            <w:pPr>
              <w:pStyle w:val="BodyText"/>
            </w:pPr>
            <w:r w:rsidRPr="005F0EBF">
              <w:rPr>
                <w:rStyle w:val="SpecialBold"/>
              </w:rPr>
              <w:t>ELEMENTS</w:t>
            </w:r>
          </w:p>
        </w:tc>
        <w:tc>
          <w:tcPr>
            <w:tcW w:w="67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PERFORMANCE CRITERIA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Elements describe the essential outcomes.</w:t>
            </w:r>
          </w:p>
        </w:tc>
        <w:tc>
          <w:tcPr>
            <w:tcW w:w="67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Performance criteria des</w:t>
            </w:r>
            <w:r w:rsidRPr="005F0EBF">
              <w:t>cribe the performance needed to demonstrate achievement of the element.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 w:rsidP="005F0EBF">
            <w:pPr>
              <w:pStyle w:val="BodyText"/>
            </w:pPr>
            <w:r w:rsidRPr="005F0EBF">
              <w:rPr>
                <w:rStyle w:val="SpecialBold"/>
              </w:rPr>
              <w:t>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 w:rsidP="005F0EBF">
            <w:pPr>
              <w:pStyle w:val="BodyText"/>
            </w:pPr>
            <w:r w:rsidRPr="005F0EBF">
              <w:rPr>
                <w:rStyle w:val="SpecialBold"/>
              </w:rPr>
              <w:t>Analyse freight transfer requirements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1.1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Australian and international codes and regulations, and workplace policies for international freight transfer are identified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1.2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Information on current and potential customers, and their international freight requirements is obtained and analysed in accordance with workplace procedures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1.3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Special characteristics and customer requirements for the types of freight to be transferre</w:t>
            </w:r>
            <w:r w:rsidRPr="005F0EBF">
              <w:t>d are identified, interpreted and considered in accordance with workplace procedures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1.4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Appropriate options for international freight transfer are evaluated in terms of identified special requirements, customer need and relevant regulatory requirements</w:t>
            </w:r>
            <w:r w:rsidRPr="005F0EBF">
              <w:t>, including Australian and international codes for the transfer of dangerous goods and hazardous substances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1.5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Selected options for freight transfer arrangements are documented in accordance with workplace policy and related regulations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 w:rsidP="005F0EBF">
            <w:pPr>
              <w:pStyle w:val="BodyText"/>
            </w:pPr>
            <w:r w:rsidRPr="005F0EBF">
              <w:rPr>
                <w:rStyle w:val="SpecialBold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 w:rsidP="005F0EBF">
            <w:pPr>
              <w:pStyle w:val="BodyText"/>
            </w:pPr>
            <w:r w:rsidRPr="005F0EBF">
              <w:rPr>
                <w:rStyle w:val="SpecialBold"/>
              </w:rPr>
              <w:t>Plan systems</w:t>
            </w:r>
            <w:r w:rsidRPr="005F0EBF">
              <w:rPr>
                <w:rStyle w:val="SpecialBold"/>
              </w:rPr>
              <w:t xml:space="preserve"> and processes for international freight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2.1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Workplace policies and mission statement are interpreted to define the process requirements for international freight transfer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2.2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Appropriate systems ar</w:t>
            </w:r>
            <w:r w:rsidRPr="005F0EBF">
              <w:t>e evaluated and established and/or coordinated to facilitate the organisation of international freight transfer, including suitable risk analysis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2.3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Human resources needed to organise international freight transfer are identified and documented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2.4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Action is initiated to ensure staff are assigned, recruited and/or trained in accordance with identified human resource requirements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2.5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Office, computer and communications equipment are identified and actions are initiated for appropriate assignment or</w:t>
            </w:r>
            <w:r w:rsidRPr="005F0EBF">
              <w:t xml:space="preserve"> procurements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2.6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Quality standards and procedures for proposed international freight transfer processes are documented and/or updated in accordance with workplace procedures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 w:rsidP="005F0EBF">
            <w:pPr>
              <w:pStyle w:val="BodyText"/>
            </w:pPr>
            <w:r w:rsidRPr="005F0EBF">
              <w:rPr>
                <w:rStyle w:val="SpecialBold"/>
              </w:rPr>
              <w:t>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 w:rsidP="005F0EBF">
            <w:pPr>
              <w:pStyle w:val="BodyText"/>
            </w:pPr>
            <w:r w:rsidRPr="005F0EBF">
              <w:rPr>
                <w:rStyle w:val="SpecialBold"/>
              </w:rPr>
              <w:t>Monitor and coordinate systems and processes for international freight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3.1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International freight forwarding operations are monitored against identified quality standards and for compliance with Australian and international regulatory requirements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3.2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Non-compliance with quality standards or regulatory requirements is identified and appropriate actions are initiated to report or rectify in accordance with workplace procedures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3.3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Customer satisfaction with international freight transfer servic</w:t>
            </w:r>
            <w:r w:rsidRPr="005F0EBF">
              <w:t>es is monitored in accordance with workplace procedures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3.4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Customer concerns and suggestions for service improvements are actioned in accordance with workplace procedures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3.5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t>Reports and documentation related to international freight transfer operations are completed and referred to relevant personnel in accordance with workplace procedures</w:t>
            </w:r>
          </w:p>
        </w:tc>
      </w:tr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BF">
            <w:pPr>
              <w:pStyle w:val="BodyText"/>
              <w:rPr>
                <w:lang w:val="en-NZ"/>
              </w:rPr>
            </w:pPr>
            <w:r w:rsidRPr="005F0EBF">
              <w:rPr>
                <w:rStyle w:val="SpecialBold"/>
              </w:rPr>
              <w:t>3.6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 w:rsidP="005F0EBF">
            <w:pPr>
              <w:pStyle w:val="BodyText"/>
            </w:pPr>
            <w:r w:rsidRPr="005F0EBF">
              <w:t>Australian and international regulations and codes of practice relevant to intern</w:t>
            </w:r>
            <w:r w:rsidRPr="005F0EBF">
              <w:t>ational freight transfer are monitored and appropriate actions are initiated to ensure ongoing compliance of workplace processes and systems</w:t>
            </w:r>
          </w:p>
        </w:tc>
      </w:tr>
    </w:tbl>
    <w:p w:rsidR="008D0572" w:rsidP="005F0EBF">
      <w:pPr>
        <w:pStyle w:val="NoPaddingFontSize1"/>
      </w:pPr>
    </w:p>
    <w:p w:rsidR="008D0572" w:rsidP="005F0EBF">
      <w:pPr>
        <w:pStyle w:val="NoPaddingFontSize1"/>
      </w:pPr>
    </w:p>
    <w:p w:rsidR="00000000" w:rsidRPr="005F0EBF" w:rsidP="005F0EBF">
      <w:pPr>
        <w:pStyle w:val="Heading1"/>
      </w:pPr>
      <w:bookmarkStart w:id="7" w:name="O_1232498"/>
      <w:bookmarkEnd w:id="7"/>
      <w:r w:rsidRPr="005F0EBF">
        <w:t>Foundation Skills</w:t>
      </w:r>
    </w:p>
    <w:p w:rsidR="008D0572" w:rsidP="008D0572">
      <w:pPr>
        <w:pStyle w:val="BodyText"/>
      </w:pPr>
      <w:r w:rsidRPr="005F0EBF">
        <w:t xml:space="preserve">Foundation skills essential to performance are explicit in the performance </w:t>
      </w:r>
      <w:r w:rsidRPr="005F0EBF">
        <w:t>criteria of this unit of competency.</w:t>
      </w:r>
    </w:p>
    <w:p w:rsidR="00000000" w:rsidRPr="005F0EBF" w:rsidP="005F0EBF">
      <w:pPr>
        <w:pStyle w:val="Heading1"/>
      </w:pPr>
      <w:bookmarkStart w:id="8" w:name="O_1232497"/>
      <w:bookmarkEnd w:id="8"/>
      <w:r w:rsidRPr="005F0E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 w:rsidP="005F0EBF">
            <w:pPr>
              <w:pStyle w:val="BodyText"/>
            </w:pPr>
            <w:r w:rsidRPr="005F0EBF">
              <w:t>Range is restricted to essential operating conditions and any other variables essential to the work environment.</w:t>
            </w:r>
          </w:p>
          <w:p w:rsidR="00000000" w:rsidRPr="005F0EBF" w:rsidP="005F0EBF">
            <w:pPr>
              <w:pStyle w:val="BodyText"/>
            </w:pPr>
            <w:r w:rsidRPr="005F0EBF">
              <w:t>Non-essential conditions can be found in t</w:t>
            </w:r>
            <w:r w:rsidRPr="005F0EBF">
              <w:t>he TLI Transport and Logistics Training Package Companion Volume Implementation Guide.</w:t>
            </w:r>
          </w:p>
        </w:tc>
      </w:tr>
    </w:tbl>
    <w:p w:rsidR="008D0572" w:rsidP="005F0EBF">
      <w:pPr>
        <w:pStyle w:val="NoPaddingFontSize1"/>
      </w:pPr>
    </w:p>
    <w:p w:rsidR="008D0572" w:rsidP="005F0EBF">
      <w:pPr>
        <w:pStyle w:val="NoPaddingFontSize1"/>
      </w:pPr>
    </w:p>
    <w:p w:rsidR="00000000" w:rsidRPr="005F0EBF" w:rsidP="005F0EBF">
      <w:pPr>
        <w:pStyle w:val="Heading1"/>
      </w:pPr>
      <w:bookmarkStart w:id="9" w:name="O_1232496"/>
      <w:bookmarkEnd w:id="9"/>
      <w:r w:rsidRPr="005F0E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BF" w:rsidP="005F0EBF">
            <w:pPr>
              <w:pStyle w:val="BodyText"/>
            </w:pPr>
            <w:r w:rsidRPr="005F0EBF">
              <w:t>This unit replaces and is equivalent to TLIA5035A Manage international freight transfer.</w:t>
            </w:r>
          </w:p>
        </w:tc>
      </w:tr>
    </w:tbl>
    <w:p w:rsidR="00000000" w:rsidRPr="005F0EBF" w:rsidP="005F0EBF">
      <w:pPr>
        <w:pStyle w:val="NoPaddingFontSize1"/>
      </w:pPr>
    </w:p>
    <w:p w:rsidR="00000000" w:rsidRPr="005F0EBF" w:rsidP="005F0EBF">
      <w:pPr>
        <w:pStyle w:val="AllowPageBreak"/>
      </w:pPr>
    </w:p>
    <w:p w:rsidR="00000000" w:rsidRPr="005F0EBF" w:rsidP="005F0EBF">
      <w:pPr>
        <w:pStyle w:val="Heading1"/>
      </w:pPr>
      <w:bookmarkStart w:id="10" w:name="O_1232505"/>
      <w:bookmarkEnd w:id="10"/>
      <w:r w:rsidRPr="005F0EBF">
        <w:t>Links</w:t>
      </w:r>
    </w:p>
    <w:p w:rsidR="00000000" w:rsidRPr="005F0EBF" w:rsidP="008D0572">
      <w:pPr>
        <w:pStyle w:val="BodyText"/>
      </w:pPr>
      <w:r w:rsidRPr="005F0EBF">
        <w:t>Compa</w:t>
      </w:r>
      <w:r w:rsidRPr="005F0EBF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0189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0EBF" w:rsidP="005F0EBF"/>
    <w:sectPr w:rsidSect="005F0E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BF" w:rsidRPr="008D0572" w:rsidP="008D0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572" w:rsidP="005F0E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0572" w:rsidP="005F0E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D0572" w:rsidP="005F0E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EBF" w:rsidRPr="008D0572" w:rsidP="008D0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572" w:rsidRPr="002D2AF8" w:rsidP="005F0E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TLIA5035 Manage international freight transfer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D0572" w:rsidP="005F0E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005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40B9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E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E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E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E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E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E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E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E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E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E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E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EBF"/>
  </w:style>
  <w:style w:type="character" w:customStyle="1" w:styleId="Heading1Char">
    <w:name w:val="Heading 1 Char"/>
    <w:basedOn w:val="DefaultParagraphFont"/>
    <w:link w:val="Heading1"/>
    <w:rsid w:val="005F0E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E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E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E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EBF"/>
    <w:rPr>
      <w:b/>
      <w:spacing w:val="0"/>
    </w:rPr>
  </w:style>
  <w:style w:type="paragraph" w:customStyle="1" w:styleId="SuperHeading">
    <w:name w:val="SuperHeading"/>
    <w:basedOn w:val="Normal"/>
    <w:rsid w:val="005F0E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E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0E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E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E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E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E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E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E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E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E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E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E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E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E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E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E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E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E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E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E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E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E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E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E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E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E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E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E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E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E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EBF"/>
    <w:rPr>
      <w:i/>
    </w:rPr>
  </w:style>
  <w:style w:type="paragraph" w:styleId="Caption">
    <w:name w:val="caption"/>
    <w:basedOn w:val="BodyText"/>
    <w:next w:val="Normal"/>
    <w:qFormat/>
    <w:rsid w:val="005F0E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E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E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EBF"/>
  </w:style>
  <w:style w:type="paragraph" w:styleId="TableofFigures">
    <w:name w:val="table of figures"/>
    <w:basedOn w:val="Normal"/>
    <w:next w:val="Normal"/>
    <w:semiHidden/>
    <w:rsid w:val="005F0E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E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0EBF"/>
    <w:rPr>
      <w:rFonts w:ascii="Wingdings" w:hAnsi="Wingdings"/>
    </w:rPr>
  </w:style>
  <w:style w:type="paragraph" w:customStyle="1" w:styleId="TableHeading">
    <w:name w:val="Table Heading"/>
    <w:basedOn w:val="HeadingBase"/>
    <w:rsid w:val="005F0E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EBF"/>
    <w:rPr>
      <w:color w:val="0033CC"/>
      <w:u w:val="none"/>
    </w:rPr>
  </w:style>
  <w:style w:type="paragraph" w:customStyle="1" w:styleId="BodyTextRight">
    <w:name w:val="Body Text Right"/>
    <w:basedOn w:val="BodyText"/>
    <w:rsid w:val="005F0E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E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E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E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E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E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EBF"/>
    <w:rPr>
      <w:sz w:val="32"/>
    </w:rPr>
  </w:style>
  <w:style w:type="paragraph" w:customStyle="1" w:styleId="HeadingProcedure">
    <w:name w:val="Heading Procedure"/>
    <w:basedOn w:val="HeadingBase"/>
    <w:next w:val="Normal"/>
    <w:rsid w:val="005F0E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EBF"/>
    <w:pPr>
      <w:spacing w:before="60" w:after="60"/>
    </w:pPr>
  </w:style>
  <w:style w:type="paragraph" w:styleId="ListContinue">
    <w:name w:val="List Continue"/>
    <w:basedOn w:val="List"/>
    <w:rsid w:val="005F0EBF"/>
    <w:pPr>
      <w:ind w:firstLine="0"/>
    </w:pPr>
  </w:style>
  <w:style w:type="paragraph" w:customStyle="1" w:styleId="ListNote">
    <w:name w:val="List Note"/>
    <w:basedOn w:val="List"/>
    <w:rsid w:val="005F0E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E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E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EBF"/>
    <w:rPr>
      <w:rFonts w:ascii="Courier New" w:hAnsi="Courier New"/>
    </w:rPr>
  </w:style>
  <w:style w:type="paragraph" w:customStyle="1" w:styleId="NoteBullet">
    <w:name w:val="Note Bullet"/>
    <w:basedOn w:val="Note"/>
    <w:rsid w:val="005F0E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E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E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E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E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0E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E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EBF"/>
    <w:rPr>
      <w:b/>
      <w:smallCaps/>
    </w:rPr>
  </w:style>
  <w:style w:type="paragraph" w:customStyle="1" w:styleId="TableListNumber">
    <w:name w:val="Table List Number"/>
    <w:basedOn w:val="ListNumber"/>
    <w:rsid w:val="005F0E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E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EBF"/>
    <w:pPr>
      <w:numPr>
        <w:numId w:val="8"/>
      </w:numPr>
    </w:pPr>
  </w:style>
  <w:style w:type="paragraph" w:customStyle="1" w:styleId="ListAlpha2">
    <w:name w:val="List Alpha 2"/>
    <w:basedOn w:val="List2"/>
    <w:rsid w:val="005F0EBF"/>
    <w:pPr>
      <w:numPr>
        <w:numId w:val="7"/>
      </w:numPr>
    </w:pPr>
  </w:style>
  <w:style w:type="paragraph" w:styleId="List2">
    <w:name w:val="List 2"/>
    <w:basedOn w:val="BodyText"/>
    <w:rsid w:val="005F0E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E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E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E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E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E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0EBF"/>
    <w:pPr>
      <w:numPr>
        <w:numId w:val="3"/>
      </w:numPr>
    </w:pPr>
  </w:style>
  <w:style w:type="paragraph" w:styleId="ListContinue2">
    <w:name w:val="List Continue 2"/>
    <w:basedOn w:val="List2"/>
    <w:rsid w:val="005F0EBF"/>
    <w:pPr>
      <w:ind w:firstLine="0"/>
    </w:pPr>
  </w:style>
  <w:style w:type="paragraph" w:styleId="ListContinue3">
    <w:name w:val="List Continue 3"/>
    <w:basedOn w:val="List3"/>
    <w:rsid w:val="005F0EBF"/>
    <w:pPr>
      <w:ind w:left="1021" w:firstLine="0"/>
    </w:pPr>
  </w:style>
  <w:style w:type="paragraph" w:styleId="ListContinue4">
    <w:name w:val="List Continue 4"/>
    <w:basedOn w:val="List4"/>
    <w:rsid w:val="005F0EBF"/>
    <w:pPr>
      <w:ind w:firstLine="0"/>
    </w:pPr>
  </w:style>
  <w:style w:type="paragraph" w:styleId="ListContinue5">
    <w:name w:val="List Continue 5"/>
    <w:basedOn w:val="List5"/>
    <w:rsid w:val="005F0EBF"/>
    <w:pPr>
      <w:ind w:firstLine="0"/>
    </w:pPr>
  </w:style>
  <w:style w:type="paragraph" w:styleId="ListNumber3">
    <w:name w:val="List Number 3"/>
    <w:basedOn w:val="List3"/>
    <w:rsid w:val="005F0EBF"/>
    <w:pPr>
      <w:numPr>
        <w:numId w:val="4"/>
      </w:numPr>
    </w:pPr>
  </w:style>
  <w:style w:type="paragraph" w:styleId="ListNumber4">
    <w:name w:val="List Number 4"/>
    <w:basedOn w:val="List4"/>
    <w:rsid w:val="005F0EBF"/>
    <w:pPr>
      <w:numPr>
        <w:numId w:val="5"/>
      </w:numPr>
    </w:pPr>
  </w:style>
  <w:style w:type="paragraph" w:styleId="ListNumber5">
    <w:name w:val="List Number 5"/>
    <w:basedOn w:val="List5"/>
    <w:rsid w:val="005F0EBF"/>
    <w:pPr>
      <w:numPr>
        <w:numId w:val="6"/>
      </w:numPr>
    </w:pPr>
  </w:style>
  <w:style w:type="paragraph" w:styleId="BlockText">
    <w:name w:val="Block Text"/>
    <w:basedOn w:val="Normal"/>
    <w:rsid w:val="005F0E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E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EBF"/>
    <w:rPr>
      <w:sz w:val="16"/>
      <w:vertAlign w:val="superscript"/>
    </w:rPr>
  </w:style>
  <w:style w:type="character" w:customStyle="1" w:styleId="Symbols">
    <w:name w:val="Symbols"/>
    <w:basedOn w:val="DefaultParagraphFont"/>
    <w:rsid w:val="005F0EBF"/>
    <w:rPr>
      <w:rFonts w:ascii="Symbol" w:hAnsi="Symbol"/>
    </w:rPr>
  </w:style>
  <w:style w:type="character" w:customStyle="1" w:styleId="MenuOptions">
    <w:name w:val="Menu Options"/>
    <w:basedOn w:val="DefaultParagraphFont"/>
    <w:rsid w:val="005F0E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EBF"/>
    <w:rPr>
      <w:b/>
    </w:rPr>
  </w:style>
  <w:style w:type="character" w:customStyle="1" w:styleId="Underlined">
    <w:name w:val="Underlined"/>
    <w:basedOn w:val="DefaultParagraphFont"/>
    <w:rsid w:val="005F0EBF"/>
    <w:rPr>
      <w:u w:val="single"/>
    </w:rPr>
  </w:style>
  <w:style w:type="paragraph" w:customStyle="1" w:styleId="TableBodyTextRight">
    <w:name w:val="Table Body Text Right"/>
    <w:basedOn w:val="TableBodyText"/>
    <w:rsid w:val="005F0E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EBF"/>
    <w:rPr>
      <w:sz w:val="18"/>
    </w:rPr>
  </w:style>
  <w:style w:type="paragraph" w:customStyle="1" w:styleId="BodySmallRight">
    <w:name w:val="Body Small Right"/>
    <w:basedOn w:val="BodyTextRight"/>
    <w:rsid w:val="005F0EBF"/>
    <w:rPr>
      <w:sz w:val="18"/>
      <w:szCs w:val="18"/>
    </w:rPr>
  </w:style>
  <w:style w:type="paragraph" w:customStyle="1" w:styleId="MarginEdition">
    <w:name w:val="Margin Edition"/>
    <w:basedOn w:val="MarginNote"/>
    <w:rsid w:val="005F0E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EBF"/>
    <w:rPr>
      <w:sz w:val="2"/>
      <w:szCs w:val="2"/>
    </w:rPr>
  </w:style>
  <w:style w:type="character" w:customStyle="1" w:styleId="Small">
    <w:name w:val="Small"/>
    <w:basedOn w:val="DefaultParagraphFont"/>
    <w:rsid w:val="005F0EBF"/>
    <w:rPr>
      <w:sz w:val="16"/>
    </w:rPr>
  </w:style>
  <w:style w:type="paragraph" w:customStyle="1" w:styleId="WideTable">
    <w:name w:val="Wide Table"/>
    <w:basedOn w:val="Normal"/>
    <w:rsid w:val="005F0E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EBF"/>
  </w:style>
  <w:style w:type="paragraph" w:styleId="Quote">
    <w:name w:val="Quote"/>
    <w:basedOn w:val="Heading1"/>
    <w:link w:val="QuoteChar"/>
    <w:qFormat/>
    <w:rsid w:val="005F0E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E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EBF"/>
    <w:pPr>
      <w:pageBreakBefore/>
    </w:pPr>
  </w:style>
  <w:style w:type="paragraph" w:customStyle="1" w:styleId="Border">
    <w:name w:val="Border"/>
    <w:basedOn w:val="Normal"/>
    <w:qFormat/>
    <w:rsid w:val="005F0E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E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E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E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E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E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E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E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EBF"/>
    <w:rPr>
      <w:u w:val="single"/>
    </w:rPr>
  </w:style>
  <w:style w:type="character" w:customStyle="1" w:styleId="BoldandItalics">
    <w:name w:val="Bold and Italics"/>
    <w:qFormat/>
    <w:rsid w:val="005F0EBF"/>
    <w:rPr>
      <w:b/>
      <w:i/>
      <w:u w:val="none"/>
    </w:rPr>
  </w:style>
  <w:style w:type="paragraph" w:styleId="BalloonText">
    <w:name w:val="Balloon Text"/>
    <w:basedOn w:val="Normal"/>
    <w:link w:val="BalloonTextChar"/>
    <w:rsid w:val="005F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E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E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E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E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E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EBF"/>
    <w:pPr>
      <w:spacing w:before="0" w:after="0"/>
    </w:pPr>
  </w:style>
  <w:style w:type="paragraph" w:customStyle="1" w:styleId="BodyTextBold">
    <w:name w:val="Body Text Bold"/>
    <w:basedOn w:val="BodyText"/>
    <w:qFormat/>
    <w:rsid w:val="005F0EBF"/>
    <w:rPr>
      <w:b/>
    </w:rPr>
  </w:style>
  <w:style w:type="character" w:styleId="Hyperlink">
    <w:name w:val="Hyperlink"/>
    <w:basedOn w:val="DefaultParagraphFont"/>
    <w:uiPriority w:val="99"/>
    <w:unhideWhenUsed/>
    <w:rsid w:val="008D0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4833</Characters>
  <Application>Microsoft Office Word</Application>
  <DocSecurity>0</DocSecurity>
  <Lines>193</Lines>
  <Paragraphs>90</Paragraphs>
  <ScaleCrop>false</ScaleCrop>
  <Company>Author-it Software Corporation Ltd.</Company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TLIA5035 Manage international freight transfer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