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AF1" w:rsidP="00562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TLIA3026 Monitor storage facilities</w:t>
      </w:r>
      <w:r>
        <w:fldChar w:fldCharType="end"/>
      </w:r>
    </w:p>
    <w:p w:rsidR="00562AF1" w:rsidP="00562AF1">
      <w:pPr>
        <w:pStyle w:val="Version"/>
        <w:sectPr w:rsidSect="00A10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F1A" w:rsidP="00A10F1A">
      <w:pPr>
        <w:pStyle w:val="SuperHeading"/>
      </w:pPr>
      <w:r w:rsidRPr="00A10F1A">
        <w:t>TLIA3026 Monitor storage facilities</w:t>
      </w:r>
    </w:p>
    <w:p w:rsidR="00000000" w:rsidRPr="00A10F1A" w:rsidP="00A10F1A">
      <w:pPr>
        <w:pStyle w:val="Heading1"/>
      </w:pPr>
      <w:bookmarkStart w:id="1" w:name="O_797494"/>
      <w:bookmarkEnd w:id="1"/>
      <w:r w:rsidRPr="00A10F1A">
        <w:t>Modification History</w:t>
      </w:r>
    </w:p>
    <w:p w:rsidR="00562AF1" w:rsidP="00562AF1">
      <w:pPr>
        <w:pStyle w:val="BodyText"/>
      </w:pPr>
      <w:r w:rsidRPr="00A10F1A">
        <w:t>Release 1. This is the first release of this unit of competency in the TLI Transport and Logistics Training Package.</w:t>
      </w:r>
    </w:p>
    <w:p w:rsidR="00000000" w:rsidRPr="00A10F1A" w:rsidP="00A10F1A">
      <w:pPr>
        <w:pStyle w:val="Heading1"/>
      </w:pPr>
      <w:bookmarkStart w:id="2" w:name="O_797495"/>
      <w:bookmarkEnd w:id="2"/>
      <w:r w:rsidRPr="00A10F1A">
        <w:t>Application</w:t>
      </w:r>
    </w:p>
    <w:p w:rsidR="00000000" w:rsidRPr="00A10F1A" w:rsidP="00562AF1">
      <w:pPr>
        <w:pStyle w:val="BodyText"/>
      </w:pPr>
      <w:r w:rsidRPr="00A10F1A">
        <w:t>This unit involves the skills and knowledge required to monitor storage facilities in ac</w:t>
      </w:r>
      <w:r w:rsidRPr="00A10F1A">
        <w:t>cordance with relevant regulations and workplace requirements in the transport and logistics industry.</w:t>
      </w:r>
    </w:p>
    <w:p w:rsidR="00000000" w:rsidRPr="00A10F1A" w:rsidP="00562AF1">
      <w:pPr>
        <w:pStyle w:val="BodyText"/>
      </w:pPr>
      <w:r w:rsidRPr="00A10F1A">
        <w:t>It includes determining site functions and operations, monitoring storage operations and taking appropriate action in response to identified discrepancie</w:t>
      </w:r>
      <w:r w:rsidRPr="00A10F1A">
        <w:t xml:space="preserve">s, changes to storage requirements or breaches in operational procedures. </w:t>
      </w:r>
    </w:p>
    <w:p w:rsidR="00000000" w:rsidRPr="00A10F1A" w:rsidP="00562AF1">
      <w:pPr>
        <w:pStyle w:val="BodyText"/>
      </w:pPr>
      <w:r w:rsidRPr="00A10F1A">
        <w:t xml:space="preserve">Work is performed under general supervision. </w:t>
      </w:r>
    </w:p>
    <w:p w:rsidR="00562AF1" w:rsidP="00562AF1">
      <w:pPr>
        <w:pStyle w:val="BodyText"/>
      </w:pPr>
      <w:r w:rsidRPr="00A10F1A">
        <w:t>No licensing, legislative or certification requirements apply to this unit at the time of publication.</w:t>
      </w:r>
    </w:p>
    <w:p w:rsidR="00000000" w:rsidRPr="00A10F1A" w:rsidP="00A10F1A">
      <w:pPr>
        <w:pStyle w:val="Heading1"/>
      </w:pPr>
      <w:bookmarkStart w:id="3" w:name="O_797496"/>
      <w:bookmarkEnd w:id="3"/>
      <w:r w:rsidRPr="00A10F1A">
        <w:t xml:space="preserve">Pre-requisite </w:t>
      </w:r>
      <w:r w:rsidRPr="00A10F1A">
        <w:t>Unit</w:t>
      </w:r>
    </w:p>
    <w:p w:rsidR="00000000" w:rsidRPr="00A10F1A" w:rsidP="00562AF1">
      <w:pPr>
        <w:pStyle w:val="BodyText"/>
      </w:pPr>
      <w:r w:rsidRPr="00A10F1A">
        <w:t>Not applicable.</w:t>
      </w:r>
    </w:p>
    <w:p w:rsidR="00000000" w:rsidRPr="00A10F1A" w:rsidP="00A10F1A">
      <w:pPr>
        <w:pStyle w:val="Heading1"/>
      </w:pPr>
      <w:bookmarkStart w:id="4" w:name="O_797497"/>
      <w:bookmarkEnd w:id="4"/>
      <w:r w:rsidRPr="00A10F1A">
        <w:t>Competency Field</w:t>
      </w:r>
    </w:p>
    <w:p w:rsidR="00562AF1" w:rsidP="00562AF1">
      <w:pPr>
        <w:pStyle w:val="BodyText"/>
      </w:pPr>
      <w:r w:rsidRPr="00A10F1A">
        <w:t>A – Handling Cargo/Stock</w:t>
      </w:r>
    </w:p>
    <w:p w:rsidR="00000000" w:rsidRPr="00A10F1A" w:rsidP="00A10F1A">
      <w:pPr>
        <w:pStyle w:val="Heading1"/>
      </w:pPr>
      <w:bookmarkStart w:id="5" w:name="O_797498"/>
      <w:bookmarkEnd w:id="5"/>
      <w:r w:rsidRPr="00A10F1A">
        <w:t>Unit Sector</w:t>
      </w:r>
    </w:p>
    <w:p w:rsidR="00000000" w:rsidRPr="00A10F1A" w:rsidP="00562AF1">
      <w:pPr>
        <w:pStyle w:val="BodyText"/>
      </w:pPr>
      <w:r w:rsidRPr="00A10F1A">
        <w:t>Not applicable.</w:t>
      </w:r>
    </w:p>
    <w:p w:rsidR="00000000" w:rsidRPr="00A10F1A" w:rsidP="00A10F1A">
      <w:pPr>
        <w:pStyle w:val="Heading1"/>
      </w:pPr>
      <w:bookmarkStart w:id="6" w:name="O_797499"/>
      <w:bookmarkEnd w:id="6"/>
      <w:r w:rsidRPr="00A10F1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1A" w:rsidP="00A10F1A">
            <w:pPr>
              <w:pStyle w:val="BodyText"/>
            </w:pPr>
            <w:r w:rsidRPr="00A10F1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rPr>
                <w:rStyle w:val="SpecialBold"/>
              </w:rPr>
              <w:t>PERFORMANCE CRITERIA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Performance criteria describe the performance needed to demonstrate achievement of the element.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1A" w:rsidP="00A10F1A">
            <w:pPr>
              <w:pStyle w:val="BodyText"/>
            </w:pPr>
            <w:r w:rsidRPr="00A10F1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rPr>
                <w:rStyle w:val="SpecialBold"/>
              </w:rPr>
              <w:t xml:space="preserve">Determine site </w:t>
            </w:r>
            <w:r w:rsidRPr="00A10F1A">
              <w:rPr>
                <w:rStyle w:val="SpecialBold"/>
              </w:rPr>
              <w:t>functions and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 xml:space="preserve">Layout of storage facilities, work flow and activities undertaken in each zone are </w:t>
            </w:r>
            <w:r w:rsidRPr="00A10F1A">
              <w:t>identified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Hazards are identified, risks are assessed and control measures are implemented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Type of storage facilities, their purpose and associated risk factors are identified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Inventory lists are accessed through record management system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 xml:space="preserve">Storage </w:t>
            </w:r>
            <w:r w:rsidRPr="00A10F1A">
              <w:t>separations and co-storage applications are identified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1A" w:rsidP="00A10F1A">
            <w:pPr>
              <w:pStyle w:val="BodyText"/>
            </w:pPr>
            <w:r w:rsidRPr="00A10F1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rPr>
                <w:rStyle w:val="SpecialBold"/>
              </w:rPr>
              <w:t>Monitor storage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Inventory data is confirmed to match goods/freight and applicable storage requirements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Storage areas are supervised to ensure movement of personnel and goods/freight are in accordance with workplace procedures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Storage facilities are checked to ensure appropriate operational capacity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Integrity of goods/materials are monitored to ensure appropriate quality is maintained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Discrepancies/changes to storage requirements and/or inventory lists are noted and action is undertaken in accordance with workplace procedures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Appropriate</w:t>
            </w:r>
            <w:r w:rsidRPr="00A10F1A">
              <w:t xml:space="preserve"> action/s are initiated in response to breaches of operational procedures or to an emergency/incident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1A" w:rsidP="00A10F1A">
            <w:pPr>
              <w:pStyle w:val="BodyText"/>
            </w:pPr>
            <w:r w:rsidRPr="00A10F1A">
              <w:t>Operational actions and investigative outcomes are documented in accordance with workplace procedures</w:t>
            </w:r>
          </w:p>
        </w:tc>
      </w:tr>
    </w:tbl>
    <w:p w:rsidR="00562AF1" w:rsidP="00A10F1A">
      <w:pPr>
        <w:pStyle w:val="BodyText"/>
      </w:pPr>
    </w:p>
    <w:p w:rsidR="00562AF1" w:rsidP="00A10F1A">
      <w:pPr>
        <w:pStyle w:val="BodyText"/>
      </w:pPr>
    </w:p>
    <w:p w:rsidR="00000000" w:rsidRPr="00A10F1A" w:rsidP="00A10F1A">
      <w:pPr>
        <w:pStyle w:val="Heading1"/>
      </w:pPr>
      <w:bookmarkStart w:id="7" w:name="O_797500"/>
      <w:bookmarkEnd w:id="7"/>
      <w:r w:rsidRPr="00A10F1A">
        <w:t>Foundation Skills</w:t>
      </w:r>
    </w:p>
    <w:p w:rsidR="00562AF1" w:rsidP="00562AF1">
      <w:pPr>
        <w:pStyle w:val="BodyText"/>
      </w:pPr>
      <w:r w:rsidRPr="00A10F1A">
        <w:t>Foundation skills essential to performance are explicit in the performance criteria of this unit of competency.</w:t>
      </w:r>
    </w:p>
    <w:p w:rsidR="00000000" w:rsidRPr="00A10F1A" w:rsidP="00A10F1A">
      <w:pPr>
        <w:pStyle w:val="Heading1"/>
      </w:pPr>
      <w:bookmarkStart w:id="8" w:name="O_797501"/>
      <w:bookmarkEnd w:id="8"/>
      <w:r w:rsidRPr="00A10F1A">
        <w:t>Range of Conditions</w:t>
      </w:r>
    </w:p>
    <w:p w:rsidR="00000000" w:rsidRPr="00A10F1A" w:rsidP="00562AF1">
      <w:pPr>
        <w:pStyle w:val="BodyText"/>
      </w:pPr>
      <w:r w:rsidRPr="00A10F1A">
        <w:t>Range is restricted to essential operating conditions and any other variables essential to the work enviro</w:t>
      </w:r>
      <w:r w:rsidRPr="00A10F1A">
        <w:t xml:space="preserve">nment. </w:t>
      </w:r>
    </w:p>
    <w:p w:rsidR="00562AF1" w:rsidP="00562AF1">
      <w:pPr>
        <w:pStyle w:val="BodyText"/>
      </w:pPr>
      <w:r w:rsidRPr="00A10F1A">
        <w:t>Non-essential conditions can be found in the Companion Volume Implementation Guide.</w:t>
      </w:r>
    </w:p>
    <w:p w:rsidR="00000000" w:rsidRPr="00A10F1A" w:rsidP="00A10F1A">
      <w:pPr>
        <w:pStyle w:val="Heading1"/>
      </w:pPr>
      <w:bookmarkStart w:id="9" w:name="O_797502"/>
      <w:bookmarkEnd w:id="9"/>
      <w:r w:rsidRPr="00A10F1A">
        <w:t>Unit Mapping Information</w:t>
      </w:r>
    </w:p>
    <w:p w:rsidR="00562AF1" w:rsidP="00562AF1">
      <w:pPr>
        <w:pStyle w:val="BodyText"/>
      </w:pPr>
      <w:r w:rsidRPr="00A10F1A">
        <w:t>This unit replaces and is equivalent to TLIA3026A Monitor storage facilities.</w:t>
      </w:r>
    </w:p>
    <w:p w:rsidR="00000000" w:rsidRPr="00A10F1A" w:rsidP="00A10F1A">
      <w:pPr>
        <w:pStyle w:val="Heading1"/>
      </w:pPr>
      <w:bookmarkStart w:id="10" w:name="O_797509"/>
      <w:bookmarkEnd w:id="10"/>
      <w:r w:rsidRPr="00A10F1A">
        <w:t>Links</w:t>
      </w:r>
    </w:p>
    <w:p w:rsidR="00000000" w:rsidRPr="00A10F1A" w:rsidP="00562AF1">
      <w:pPr>
        <w:pStyle w:val="BodyText"/>
      </w:pPr>
      <w:r w:rsidRPr="00A10F1A">
        <w:t>Companion Volume im</w:t>
      </w:r>
      <w:r w:rsidRPr="00A10F1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72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0F1A" w:rsidP="00562AF1">
      <w:pPr>
        <w:pStyle w:val="BodyText"/>
        <w:sectPr w:rsidSect="00A10F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0F1A" w:rsidP="00A10F1A">
      <w:pPr>
        <w:pStyle w:val="SuperHeading"/>
      </w:pPr>
      <w:r w:rsidRPr="00A10F1A">
        <w:t>Assessment Requirements for TLIA3026 Monitor storage facilities</w:t>
      </w:r>
    </w:p>
    <w:p w:rsidR="00000000" w:rsidRPr="00A10F1A" w:rsidP="00A10F1A">
      <w:pPr>
        <w:pStyle w:val="Heading1"/>
      </w:pPr>
      <w:bookmarkStart w:id="11" w:name="O_797504"/>
      <w:bookmarkEnd w:id="11"/>
      <w:r w:rsidRPr="00A10F1A">
        <w:t>Mo</w:t>
      </w:r>
      <w:r w:rsidRPr="00A10F1A">
        <w:t>dification History</w:t>
      </w:r>
    </w:p>
    <w:p w:rsidR="00562AF1" w:rsidP="00562AF1">
      <w:pPr>
        <w:pStyle w:val="BodyText"/>
      </w:pPr>
      <w:r w:rsidRPr="00A10F1A">
        <w:t>Release 1. This is the first release of this unit of competency in the TLI Transport and Logistics Training Package.</w:t>
      </w:r>
    </w:p>
    <w:p w:rsidR="00000000" w:rsidRPr="00A10F1A" w:rsidP="00A10F1A">
      <w:pPr>
        <w:pStyle w:val="Heading1"/>
      </w:pPr>
      <w:bookmarkStart w:id="12" w:name="O_797505"/>
      <w:bookmarkEnd w:id="12"/>
      <w:r w:rsidRPr="00A10F1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 xml:space="preserve">Evidence required to demonstrate competence in this unit must be relevant to and </w:t>
            </w:r>
            <w:r w:rsidRPr="00A10F1A">
              <w:t>satisfy all of the requirements of the elements and performance criteria on at least one occasion and include: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1A" w:rsidP="00A10F1A">
            <w:pPr>
              <w:pStyle w:val="ListBullet"/>
            </w:pPr>
            <w:r w:rsidRPr="00A10F1A">
              <w:t xml:space="preserve">applying precautions and required action to minimise, control or eliminate identified hazards </w:t>
            </w:r>
          </w:p>
          <w:p w:rsidR="00000000" w:rsidRPr="00A10F1A" w:rsidP="00A10F1A">
            <w:pPr>
              <w:pStyle w:val="ListBullet"/>
            </w:pPr>
            <w:r w:rsidRPr="00A10F1A">
              <w:t>applying relevant legislation and workplace procedures</w:t>
            </w:r>
          </w:p>
          <w:p w:rsidR="00000000" w:rsidRPr="00A10F1A" w:rsidP="00A10F1A">
            <w:pPr>
              <w:pStyle w:val="ListBullet"/>
            </w:pPr>
            <w:r w:rsidRPr="00A10F1A">
              <w:t xml:space="preserve">communicating and working effectively with others </w:t>
            </w:r>
          </w:p>
          <w:p w:rsidR="00000000" w:rsidRPr="00A10F1A" w:rsidP="00A10F1A">
            <w:pPr>
              <w:pStyle w:val="ListBullet"/>
            </w:pPr>
            <w:r w:rsidRPr="00A10F1A">
              <w:t xml:space="preserve">completing relevant documentation </w:t>
            </w:r>
          </w:p>
          <w:p w:rsidR="00000000" w:rsidRPr="00A10F1A" w:rsidP="00A10F1A">
            <w:pPr>
              <w:pStyle w:val="ListBullet"/>
            </w:pPr>
            <w:r w:rsidRPr="00A10F1A">
              <w:t xml:space="preserve">monitoring equipment performance </w:t>
            </w:r>
          </w:p>
          <w:p w:rsidR="00000000" w:rsidRPr="00A10F1A" w:rsidP="00A10F1A">
            <w:pPr>
              <w:pStyle w:val="ListBullet"/>
            </w:pPr>
            <w:r w:rsidRPr="00A10F1A">
              <w:t>operating and adapting to differences in equipment in accordance with operating p</w:t>
            </w:r>
            <w:r w:rsidRPr="00A10F1A">
              <w:t>rocedures</w:t>
            </w:r>
          </w:p>
          <w:p w:rsidR="00000000" w:rsidRPr="00A10F1A" w:rsidP="00A10F1A">
            <w:pPr>
              <w:pStyle w:val="ListBullet"/>
            </w:pPr>
            <w:r w:rsidRPr="00A10F1A">
              <w:t xml:space="preserve">reading, interpreting and following relevant instructions, procedures and signs </w:t>
            </w:r>
          </w:p>
          <w:p w:rsidR="00000000" w:rsidRPr="00A10F1A" w:rsidP="00A10F1A">
            <w:pPr>
              <w:pStyle w:val="ListBullet"/>
            </w:pPr>
            <w:r w:rsidRPr="00A10F1A">
              <w:t>using information on products and stock to determine, plan and organise processes used for monitoring storage facilities.</w:t>
            </w:r>
          </w:p>
        </w:tc>
      </w:tr>
    </w:tbl>
    <w:p w:rsidR="00000000" w:rsidRPr="00A10F1A" w:rsidP="00A10F1A">
      <w:pPr>
        <w:pStyle w:val="BodyText"/>
      </w:pPr>
    </w:p>
    <w:p w:rsidR="00000000" w:rsidRPr="00A10F1A" w:rsidP="00A10F1A">
      <w:pPr>
        <w:pStyle w:val="AllowPageBreak"/>
      </w:pPr>
    </w:p>
    <w:p w:rsidR="00000000" w:rsidRPr="00A10F1A" w:rsidP="00A10F1A">
      <w:pPr>
        <w:pStyle w:val="Heading1"/>
      </w:pPr>
      <w:bookmarkStart w:id="13" w:name="O_797506"/>
      <w:bookmarkEnd w:id="13"/>
      <w:r w:rsidRPr="00A10F1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F1A">
            <w:pPr>
              <w:pStyle w:val="BodyText"/>
              <w:rPr>
                <w:lang w:val="en-NZ"/>
              </w:rPr>
            </w:pPr>
            <w:r w:rsidRPr="00A10F1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1A" w:rsidP="00A10F1A">
            <w:pPr>
              <w:pStyle w:val="ListBullet"/>
            </w:pPr>
            <w:r w:rsidRPr="00A10F1A">
              <w:t>Australian codes and regulations, permit and licence requirements relevant</w:t>
            </w:r>
            <w:r w:rsidRPr="00A10F1A">
              <w:t xml:space="preserve"> to workplace activities</w:t>
            </w:r>
          </w:p>
          <w:p w:rsidR="00000000" w:rsidRPr="00A10F1A" w:rsidP="00A10F1A">
            <w:pPr>
              <w:pStyle w:val="ListBullet"/>
            </w:pPr>
            <w:r w:rsidRPr="00A10F1A">
              <w:t>equipment applications, capacities, configurations, safety hazards and control mechanisms</w:t>
            </w:r>
          </w:p>
          <w:p w:rsidR="00000000" w:rsidRPr="00A10F1A" w:rsidP="00A10F1A">
            <w:pPr>
              <w:pStyle w:val="ListBullet"/>
            </w:pPr>
            <w:r w:rsidRPr="00A10F1A">
              <w:t>operational work systems, equipment, management and site operating systems</w:t>
            </w:r>
          </w:p>
          <w:p w:rsidR="00000000" w:rsidRPr="00A10F1A" w:rsidP="00A10F1A">
            <w:pPr>
              <w:pStyle w:val="ListBullet"/>
            </w:pPr>
            <w:r w:rsidRPr="00A10F1A">
              <w:t>housekeeping standards and procedures</w:t>
            </w:r>
          </w:p>
          <w:p w:rsidR="00000000" w:rsidRPr="00A10F1A" w:rsidP="00A10F1A">
            <w:pPr>
              <w:pStyle w:val="ListBullet"/>
            </w:pPr>
            <w:r w:rsidRPr="00A10F1A">
              <w:t>information on various categories or groups of products including their key characteristics and hazards, and the special handling, stacking and storage requirements for each</w:t>
            </w:r>
          </w:p>
          <w:p w:rsidR="00000000" w:rsidRPr="00A10F1A" w:rsidP="00A10F1A">
            <w:pPr>
              <w:pStyle w:val="ListBullet"/>
            </w:pPr>
            <w:r w:rsidRPr="00A10F1A">
              <w:t>problems that may occur and appropriate action that can be taken</w:t>
            </w:r>
          </w:p>
          <w:p w:rsidR="00000000" w:rsidRPr="00A10F1A" w:rsidP="00A10F1A">
            <w:pPr>
              <w:pStyle w:val="ListBullet"/>
            </w:pPr>
            <w:r w:rsidRPr="00A10F1A">
              <w:t>relevant work hea</w:t>
            </w:r>
            <w:r w:rsidRPr="00A10F1A">
              <w:t>lth and safety (WHS)/occupational health and safety (OHS) and environmental protection procedures and guidelines</w:t>
            </w:r>
          </w:p>
          <w:p w:rsidR="00000000" w:rsidRPr="00A10F1A" w:rsidP="00A10F1A">
            <w:pPr>
              <w:pStyle w:val="ListBullet"/>
            </w:pPr>
            <w:r w:rsidRPr="00A10F1A">
              <w:t>requirements for workplace documentation reports and records</w:t>
            </w:r>
          </w:p>
          <w:p w:rsidR="00000000" w:rsidRPr="00A10F1A" w:rsidP="00A10F1A">
            <w:pPr>
              <w:pStyle w:val="ListBullet"/>
            </w:pPr>
            <w:r w:rsidRPr="00A10F1A">
              <w:t>site layout</w:t>
            </w:r>
          </w:p>
          <w:p w:rsidR="00000000" w:rsidRPr="00A10F1A" w:rsidP="00A10F1A">
            <w:pPr>
              <w:pStyle w:val="ListBullet"/>
            </w:pPr>
            <w:r w:rsidRPr="00A10F1A">
              <w:t>types of storage areas and related equipment appropriate for different</w:t>
            </w:r>
            <w:r w:rsidRPr="00A10F1A">
              <w:t xml:space="preserve"> types of goods including perishable, fragile and/or hazardous/dangerous goods</w:t>
            </w:r>
          </w:p>
          <w:p w:rsidR="00000000" w:rsidRPr="00A10F1A" w:rsidP="00A10F1A">
            <w:pPr>
              <w:pStyle w:val="ListBullet"/>
            </w:pPr>
            <w:r w:rsidRPr="00A10F1A">
              <w:t>workplace procedures and policies relevant to the monitoring of storage facilities.</w:t>
            </w:r>
          </w:p>
        </w:tc>
      </w:tr>
    </w:tbl>
    <w:p w:rsidR="00000000" w:rsidRPr="00A10F1A" w:rsidP="00A10F1A">
      <w:pPr>
        <w:pStyle w:val="BodyText"/>
      </w:pPr>
    </w:p>
    <w:p w:rsidR="00000000" w:rsidRPr="00A10F1A" w:rsidP="00A10F1A">
      <w:pPr>
        <w:pStyle w:val="AllowPageBreak"/>
      </w:pPr>
    </w:p>
    <w:p w:rsidR="00000000" w:rsidRPr="00A10F1A" w:rsidP="00A10F1A">
      <w:pPr>
        <w:pStyle w:val="Heading1"/>
      </w:pPr>
      <w:bookmarkStart w:id="14" w:name="O_797507"/>
      <w:bookmarkEnd w:id="14"/>
      <w:r w:rsidRPr="00A10F1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2A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F1A" w:rsidP="00A10F1A">
            <w:pPr>
              <w:pStyle w:val="BodyText"/>
            </w:pPr>
            <w:r w:rsidRPr="00A10F1A">
              <w:t>As a minimum, assessors must satisfy applicable regu</w:t>
            </w:r>
            <w:r w:rsidRPr="00A10F1A">
              <w:t xml:space="preserve">latory requirements, which include requirements in the </w:t>
            </w:r>
            <w:r w:rsidRPr="00A10F1A">
              <w:rPr>
                <w:rStyle w:val="Emphasis"/>
              </w:rPr>
              <w:t>Standards for Registered Training Organisations</w:t>
            </w:r>
            <w:r w:rsidRPr="00A10F1A">
              <w:t xml:space="preserve"> current at the time of assessment. </w:t>
            </w:r>
          </w:p>
          <w:p w:rsidR="00000000" w:rsidRPr="00A10F1A" w:rsidP="00A10F1A">
            <w:pPr>
              <w:pStyle w:val="BodyText"/>
            </w:pPr>
            <w:r w:rsidRPr="00A10F1A">
              <w:t xml:space="preserve">As a minimum, assessment must satisfy applicable regulatory requirements, which include requirements in the </w:t>
            </w:r>
            <w:r w:rsidRPr="00A10F1A">
              <w:rPr>
                <w:rStyle w:val="Emphasis"/>
              </w:rPr>
              <w:t>Standards for Registered Training Organisations</w:t>
            </w:r>
            <w:r w:rsidRPr="00A10F1A">
              <w:t xml:space="preserve"> current at the time of assessment.</w:t>
            </w:r>
          </w:p>
          <w:p w:rsidR="00000000" w:rsidRPr="00A10F1A" w:rsidP="00A10F1A">
            <w:pPr>
              <w:pStyle w:val="BodyText"/>
            </w:pPr>
            <w:r w:rsidRPr="00A10F1A">
              <w:t>Assessment must occur in workplace operational situations where it is appropriate to do so; where this is not appropriate, assessment must occur in simulated workplace opera</w:t>
            </w:r>
            <w:r w:rsidRPr="00A10F1A">
              <w:t xml:space="preserve">tional situations that replicate workplace conditions. </w:t>
            </w:r>
          </w:p>
          <w:p w:rsidR="00000000" w:rsidRPr="00A10F1A" w:rsidP="00A10F1A">
            <w:pPr>
              <w:pStyle w:val="BodyText"/>
            </w:pPr>
            <w:r w:rsidRPr="00A10F1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10F1A" w:rsidP="00A10F1A">
            <w:pPr>
              <w:pStyle w:val="BodyText"/>
            </w:pPr>
            <w:r w:rsidRPr="00A10F1A">
              <w:t>Resources for assessment include</w:t>
            </w:r>
            <w:r w:rsidRPr="00A10F1A">
              <w:t>:</w:t>
            </w:r>
          </w:p>
          <w:p w:rsidR="00000000" w:rsidRPr="00A10F1A" w:rsidP="00A10F1A">
            <w:pPr>
              <w:pStyle w:val="ListBullet"/>
            </w:pPr>
            <w:r w:rsidRPr="00A10F1A">
              <w:t>a range of relevant exercises, case studies and/or simulations</w:t>
            </w:r>
          </w:p>
          <w:p w:rsidR="00000000" w:rsidRPr="00A10F1A" w:rsidP="00A10F1A">
            <w:pPr>
              <w:pStyle w:val="ListBullet"/>
            </w:pPr>
            <w:r w:rsidRPr="00A10F1A">
              <w:t xml:space="preserve">applicable documentation including workplace procedures, regulations, codes of practice and operation manuals </w:t>
            </w:r>
          </w:p>
          <w:p w:rsidR="00000000" w:rsidRPr="00A10F1A" w:rsidP="00A10F1A">
            <w:pPr>
              <w:pStyle w:val="ListBullet"/>
            </w:pPr>
            <w:r w:rsidRPr="00A10F1A">
              <w:t>relevant materials, tools, equipment and personal protective equipment currentl</w:t>
            </w:r>
            <w:r w:rsidRPr="00A10F1A">
              <w:t>y used in industry.</w:t>
            </w:r>
          </w:p>
        </w:tc>
      </w:tr>
    </w:tbl>
    <w:p w:rsidR="00000000" w:rsidRPr="00A10F1A" w:rsidP="00A10F1A">
      <w:pPr>
        <w:pStyle w:val="BodyText"/>
      </w:pPr>
    </w:p>
    <w:p w:rsidR="00000000" w:rsidRPr="00A10F1A" w:rsidP="00A10F1A">
      <w:pPr>
        <w:pStyle w:val="AllowPageBreak"/>
      </w:pPr>
    </w:p>
    <w:p w:rsidR="00000000" w:rsidRPr="00A10F1A" w:rsidP="00A10F1A">
      <w:pPr>
        <w:pStyle w:val="Heading1"/>
      </w:pPr>
      <w:bookmarkStart w:id="15" w:name="O_797510"/>
      <w:bookmarkEnd w:id="15"/>
      <w:r w:rsidRPr="00A10F1A">
        <w:t>Links</w:t>
      </w:r>
    </w:p>
    <w:p w:rsidR="00000000" w:rsidRPr="00A10F1A" w:rsidP="00562AF1">
      <w:pPr>
        <w:pStyle w:val="BodyText"/>
      </w:pPr>
      <w:r w:rsidRPr="00A10F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72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0F1A" w:rsidP="00A10F1A"/>
    <w:sectPr w:rsidSect="00A10F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1A" w:rsidRPr="00562AF1" w:rsidP="00562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F1" w:rsidP="00A1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AF1" w:rsidP="00A1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62AF1" w:rsidP="00A10F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1A" w:rsidP="00A1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2AF1">
      <w:t>Approved</w:t>
    </w:r>
    <w:r w:rsidR="00562A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2A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2AF1">
      <w:rPr>
        <w:noProof/>
      </w:rPr>
      <w:t>4</w:t>
    </w:r>
    <w:r>
      <w:rPr>
        <w:noProof/>
      </w:rPr>
      <w:fldChar w:fldCharType="end"/>
    </w:r>
  </w:p>
  <w:p w:rsidR="00A10F1A" w:rsidP="00A1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2A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2AF1">
      <w:t>Industry Skills Australia</w:t>
    </w:r>
    <w:r w:rsidR="00562AF1">
      <w:fldChar w:fldCharType="end"/>
    </w:r>
  </w:p>
  <w:p w:rsidR="00A10F1A" w:rsidP="00A10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F1A" w:rsidRPr="00562AF1" w:rsidP="00562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F1" w:rsidRPr="002D2AF8" w:rsidP="00A1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TLIA3026 Monitor storage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2AF1" w:rsidP="00A10F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1A" w:rsidRPr="002D2AF8" w:rsidP="00A1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2AF1">
      <w:t>TLIA3026 Monitor storage facilities</w:t>
    </w:r>
    <w:r w:rsidR="00562A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2AF1">
      <w:rPr>
        <w:noProof/>
      </w:rPr>
      <w:t>2 March 2025</w:t>
    </w:r>
    <w:r>
      <w:fldChar w:fldCharType="end"/>
    </w:r>
  </w:p>
  <w:p w:rsidR="00A10F1A" w:rsidP="00A10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D04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886C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F1A"/>
  </w:style>
  <w:style w:type="character" w:customStyle="1" w:styleId="Heading1Char">
    <w:name w:val="Heading 1 Char"/>
    <w:basedOn w:val="DefaultParagraphFont"/>
    <w:link w:val="Heading1"/>
    <w:rsid w:val="00A10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F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F1A"/>
    <w:rPr>
      <w:b/>
      <w:spacing w:val="0"/>
    </w:rPr>
  </w:style>
  <w:style w:type="character" w:styleId="Emphasis">
    <w:name w:val="Emphasis"/>
    <w:basedOn w:val="DefaultParagraphFont"/>
    <w:qFormat/>
    <w:rsid w:val="00A10F1A"/>
    <w:rPr>
      <w:i/>
    </w:rPr>
  </w:style>
  <w:style w:type="paragraph" w:customStyle="1" w:styleId="SuperHeading">
    <w:name w:val="SuperHeading"/>
    <w:basedOn w:val="Normal"/>
    <w:rsid w:val="00A10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F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F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0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F1A"/>
  </w:style>
  <w:style w:type="paragraph" w:styleId="TableofFigures">
    <w:name w:val="table of figures"/>
    <w:basedOn w:val="Normal"/>
    <w:next w:val="Normal"/>
    <w:semiHidden/>
    <w:rsid w:val="00A10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F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0F1A"/>
    <w:rPr>
      <w:rFonts w:ascii="Wingdings" w:hAnsi="Wingdings"/>
    </w:rPr>
  </w:style>
  <w:style w:type="paragraph" w:customStyle="1" w:styleId="TableHeading">
    <w:name w:val="Table Heading"/>
    <w:basedOn w:val="HeadingBase"/>
    <w:rsid w:val="00A10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F1A"/>
    <w:rPr>
      <w:color w:val="0033CC"/>
      <w:u w:val="none"/>
    </w:rPr>
  </w:style>
  <w:style w:type="paragraph" w:customStyle="1" w:styleId="BodyTextRight">
    <w:name w:val="Body Text Right"/>
    <w:basedOn w:val="BodyText"/>
    <w:rsid w:val="00A10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F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F1A"/>
    <w:rPr>
      <w:sz w:val="32"/>
    </w:rPr>
  </w:style>
  <w:style w:type="paragraph" w:customStyle="1" w:styleId="HeadingProcedure">
    <w:name w:val="Heading Procedure"/>
    <w:basedOn w:val="HeadingBase"/>
    <w:next w:val="Normal"/>
    <w:rsid w:val="00A10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F1A"/>
    <w:pPr>
      <w:spacing w:before="60" w:after="60"/>
    </w:pPr>
  </w:style>
  <w:style w:type="paragraph" w:styleId="ListContinue">
    <w:name w:val="List Continue"/>
    <w:basedOn w:val="List"/>
    <w:rsid w:val="00A10F1A"/>
    <w:pPr>
      <w:ind w:firstLine="0"/>
    </w:pPr>
  </w:style>
  <w:style w:type="paragraph" w:customStyle="1" w:styleId="ListNote">
    <w:name w:val="List Note"/>
    <w:basedOn w:val="List"/>
    <w:rsid w:val="00A10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F1A"/>
    <w:rPr>
      <w:rFonts w:ascii="Courier New" w:hAnsi="Courier New"/>
    </w:rPr>
  </w:style>
  <w:style w:type="paragraph" w:customStyle="1" w:styleId="NoteBullet">
    <w:name w:val="Note Bullet"/>
    <w:basedOn w:val="Note"/>
    <w:rsid w:val="00A10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F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0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F1A"/>
    <w:rPr>
      <w:b/>
      <w:smallCaps/>
    </w:rPr>
  </w:style>
  <w:style w:type="paragraph" w:customStyle="1" w:styleId="TableListNumber">
    <w:name w:val="Table List Number"/>
    <w:basedOn w:val="ListNumber"/>
    <w:rsid w:val="00A10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F1A"/>
    <w:pPr>
      <w:numPr>
        <w:numId w:val="8"/>
      </w:numPr>
    </w:pPr>
  </w:style>
  <w:style w:type="paragraph" w:customStyle="1" w:styleId="ListAlpha2">
    <w:name w:val="List Alpha 2"/>
    <w:basedOn w:val="List2"/>
    <w:rsid w:val="00A10F1A"/>
    <w:pPr>
      <w:numPr>
        <w:numId w:val="7"/>
      </w:numPr>
    </w:pPr>
  </w:style>
  <w:style w:type="paragraph" w:styleId="List2">
    <w:name w:val="List 2"/>
    <w:basedOn w:val="BodyText"/>
    <w:rsid w:val="00A10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F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F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0F1A"/>
    <w:pPr>
      <w:numPr>
        <w:numId w:val="3"/>
      </w:numPr>
    </w:pPr>
  </w:style>
  <w:style w:type="paragraph" w:styleId="ListContinue2">
    <w:name w:val="List Continue 2"/>
    <w:basedOn w:val="List2"/>
    <w:rsid w:val="00A10F1A"/>
    <w:pPr>
      <w:ind w:firstLine="0"/>
    </w:pPr>
  </w:style>
  <w:style w:type="paragraph" w:styleId="ListContinue3">
    <w:name w:val="List Continue 3"/>
    <w:basedOn w:val="List3"/>
    <w:rsid w:val="00A10F1A"/>
    <w:pPr>
      <w:ind w:left="1021" w:firstLine="0"/>
    </w:pPr>
  </w:style>
  <w:style w:type="paragraph" w:styleId="ListContinue4">
    <w:name w:val="List Continue 4"/>
    <w:basedOn w:val="List4"/>
    <w:rsid w:val="00A10F1A"/>
    <w:pPr>
      <w:ind w:firstLine="0"/>
    </w:pPr>
  </w:style>
  <w:style w:type="paragraph" w:styleId="ListContinue5">
    <w:name w:val="List Continue 5"/>
    <w:basedOn w:val="List5"/>
    <w:rsid w:val="00A10F1A"/>
    <w:pPr>
      <w:ind w:firstLine="0"/>
    </w:pPr>
  </w:style>
  <w:style w:type="paragraph" w:styleId="ListNumber3">
    <w:name w:val="List Number 3"/>
    <w:basedOn w:val="List3"/>
    <w:rsid w:val="00A10F1A"/>
    <w:pPr>
      <w:numPr>
        <w:numId w:val="4"/>
      </w:numPr>
    </w:pPr>
  </w:style>
  <w:style w:type="paragraph" w:styleId="ListNumber4">
    <w:name w:val="List Number 4"/>
    <w:basedOn w:val="List4"/>
    <w:rsid w:val="00A10F1A"/>
    <w:pPr>
      <w:numPr>
        <w:numId w:val="5"/>
      </w:numPr>
    </w:pPr>
  </w:style>
  <w:style w:type="paragraph" w:styleId="ListNumber5">
    <w:name w:val="List Number 5"/>
    <w:basedOn w:val="List5"/>
    <w:rsid w:val="00A10F1A"/>
    <w:pPr>
      <w:numPr>
        <w:numId w:val="6"/>
      </w:numPr>
    </w:pPr>
  </w:style>
  <w:style w:type="paragraph" w:styleId="BlockText">
    <w:name w:val="Block Text"/>
    <w:basedOn w:val="Normal"/>
    <w:rsid w:val="00A10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F1A"/>
    <w:rPr>
      <w:sz w:val="16"/>
      <w:vertAlign w:val="superscript"/>
    </w:rPr>
  </w:style>
  <w:style w:type="character" w:customStyle="1" w:styleId="Symbols">
    <w:name w:val="Symbols"/>
    <w:basedOn w:val="DefaultParagraphFont"/>
    <w:rsid w:val="00A10F1A"/>
    <w:rPr>
      <w:rFonts w:ascii="Symbol" w:hAnsi="Symbol"/>
    </w:rPr>
  </w:style>
  <w:style w:type="character" w:customStyle="1" w:styleId="MenuOptions">
    <w:name w:val="Menu Options"/>
    <w:basedOn w:val="DefaultParagraphFont"/>
    <w:rsid w:val="00A10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F1A"/>
    <w:rPr>
      <w:b/>
    </w:rPr>
  </w:style>
  <w:style w:type="character" w:customStyle="1" w:styleId="Underlined">
    <w:name w:val="Underlined"/>
    <w:basedOn w:val="DefaultParagraphFont"/>
    <w:rsid w:val="00A10F1A"/>
    <w:rPr>
      <w:u w:val="single"/>
    </w:rPr>
  </w:style>
  <w:style w:type="paragraph" w:customStyle="1" w:styleId="TableBodyTextRight">
    <w:name w:val="Table Body Text Right"/>
    <w:basedOn w:val="TableBodyText"/>
    <w:rsid w:val="00A10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F1A"/>
    <w:rPr>
      <w:sz w:val="18"/>
    </w:rPr>
  </w:style>
  <w:style w:type="paragraph" w:customStyle="1" w:styleId="BodySmallRight">
    <w:name w:val="Body Small Right"/>
    <w:basedOn w:val="BodyTextRight"/>
    <w:rsid w:val="00A10F1A"/>
    <w:rPr>
      <w:sz w:val="18"/>
      <w:szCs w:val="18"/>
    </w:rPr>
  </w:style>
  <w:style w:type="paragraph" w:customStyle="1" w:styleId="MarginEdition">
    <w:name w:val="Margin Edition"/>
    <w:basedOn w:val="MarginNote"/>
    <w:rsid w:val="00A10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F1A"/>
    <w:rPr>
      <w:sz w:val="2"/>
      <w:szCs w:val="2"/>
    </w:rPr>
  </w:style>
  <w:style w:type="character" w:customStyle="1" w:styleId="Small">
    <w:name w:val="Small"/>
    <w:basedOn w:val="DefaultParagraphFont"/>
    <w:rsid w:val="00A10F1A"/>
    <w:rPr>
      <w:sz w:val="16"/>
    </w:rPr>
  </w:style>
  <w:style w:type="paragraph" w:customStyle="1" w:styleId="WideTable">
    <w:name w:val="Wide Table"/>
    <w:basedOn w:val="Normal"/>
    <w:rsid w:val="00A10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F1A"/>
  </w:style>
  <w:style w:type="paragraph" w:styleId="Quote">
    <w:name w:val="Quote"/>
    <w:basedOn w:val="Heading1"/>
    <w:link w:val="QuoteChar"/>
    <w:qFormat/>
    <w:rsid w:val="00A10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F1A"/>
    <w:pPr>
      <w:pageBreakBefore/>
    </w:pPr>
  </w:style>
  <w:style w:type="paragraph" w:customStyle="1" w:styleId="Border">
    <w:name w:val="Border"/>
    <w:basedOn w:val="Normal"/>
    <w:qFormat/>
    <w:rsid w:val="00A10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F1A"/>
    <w:rPr>
      <w:u w:val="single"/>
    </w:rPr>
  </w:style>
  <w:style w:type="character" w:customStyle="1" w:styleId="BoldandItalics">
    <w:name w:val="Bold and Italics"/>
    <w:qFormat/>
    <w:rsid w:val="00A10F1A"/>
    <w:rPr>
      <w:b/>
      <w:i/>
      <w:u w:val="none"/>
    </w:rPr>
  </w:style>
  <w:style w:type="paragraph" w:styleId="BalloonText">
    <w:name w:val="Balloon Text"/>
    <w:basedOn w:val="Normal"/>
    <w:link w:val="BalloonTextChar"/>
    <w:rsid w:val="00A10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F1A"/>
    <w:pPr>
      <w:spacing w:before="0" w:after="0"/>
    </w:pPr>
  </w:style>
  <w:style w:type="paragraph" w:customStyle="1" w:styleId="BodyTextBold">
    <w:name w:val="Body Text Bold"/>
    <w:basedOn w:val="BodyText"/>
    <w:qFormat/>
    <w:rsid w:val="00A10F1A"/>
    <w:rPr>
      <w:b/>
    </w:rPr>
  </w:style>
  <w:style w:type="character" w:styleId="Hyperlink">
    <w:name w:val="Hyperlink"/>
    <w:basedOn w:val="DefaultParagraphFont"/>
    <w:uiPriority w:val="99"/>
    <w:unhideWhenUsed/>
    <w:rsid w:val="00562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5814</Characters>
  <Application>Microsoft Office Word</Application>
  <DocSecurity>0</DocSecurity>
  <Lines>176</Lines>
  <Paragraphs>113</Paragraphs>
  <ScaleCrop>false</ScaleCrop>
  <Company>Author-it Software Corporation Ltd.</Company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TLIA3026 Monitor storage facilities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